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3B05" w14:textId="77777777" w:rsidR="001E6CAE" w:rsidRPr="00AB603F" w:rsidRDefault="001E6CAE">
      <w:pPr>
        <w:pStyle w:val="Heading2"/>
        <w:jc w:val="center"/>
        <w:rPr>
          <w:lang w:val="fr-BE"/>
        </w:rPr>
      </w:pPr>
      <w:r w:rsidRPr="00AB603F">
        <w:rPr>
          <w:lang w:val="fr-BE"/>
        </w:rPr>
        <w:t>RESUME DES CARACTERISTIQUES DU PRODUIT</w:t>
      </w:r>
    </w:p>
    <w:p w14:paraId="2B330882" w14:textId="77777777" w:rsidR="001E6CAE" w:rsidRPr="00366F31" w:rsidRDefault="001E6CAE">
      <w:pPr>
        <w:pStyle w:val="Heading2"/>
        <w:rPr>
          <w:lang w:val="fr-BE"/>
        </w:rPr>
      </w:pPr>
    </w:p>
    <w:p w14:paraId="5FDA26F6" w14:textId="77777777" w:rsidR="001E6CAE" w:rsidRPr="00366F31" w:rsidRDefault="001E6CAE">
      <w:pPr>
        <w:pStyle w:val="Heading2"/>
        <w:rPr>
          <w:lang w:val="fr-BE"/>
        </w:rPr>
      </w:pPr>
      <w:r w:rsidRPr="00366F31">
        <w:rPr>
          <w:lang w:val="fr-BE"/>
        </w:rPr>
        <w:t>1.</w:t>
      </w:r>
      <w:r w:rsidRPr="00366F31">
        <w:rPr>
          <w:lang w:val="fr-BE"/>
        </w:rPr>
        <w:tab/>
        <w:t>DENOMINATION</w:t>
      </w:r>
      <w:r w:rsidR="00221DC8" w:rsidRPr="00366F31">
        <w:rPr>
          <w:lang w:val="fr-BE"/>
        </w:rPr>
        <w:t xml:space="preserve"> DU MEDICAMENT</w:t>
      </w:r>
    </w:p>
    <w:p w14:paraId="4F158D00" w14:textId="77777777" w:rsidR="001E6CAE" w:rsidRPr="00366F31" w:rsidRDefault="001E6CAE">
      <w:pPr>
        <w:pStyle w:val="Header"/>
        <w:tabs>
          <w:tab w:val="clear" w:pos="9072"/>
        </w:tabs>
        <w:ind w:left="227" w:hanging="227"/>
        <w:rPr>
          <w:lang w:val="fr-BE"/>
        </w:rPr>
      </w:pPr>
    </w:p>
    <w:p w14:paraId="08CF067B" w14:textId="77777777" w:rsidR="001E6CAE" w:rsidRPr="00366F31" w:rsidRDefault="001E6CAE">
      <w:pPr>
        <w:pStyle w:val="Heading3"/>
        <w:rPr>
          <w:u w:val="none"/>
          <w:lang w:val="fr-BE"/>
        </w:rPr>
      </w:pPr>
      <w:r w:rsidRPr="00366F31">
        <w:rPr>
          <w:u w:val="none"/>
          <w:lang w:val="fr-BE"/>
        </w:rPr>
        <w:t>Kenacort-A 10 mg/ml suspension injectable</w:t>
      </w:r>
    </w:p>
    <w:p w14:paraId="0938491F" w14:textId="77777777" w:rsidR="001E6CAE" w:rsidRPr="00366F31" w:rsidRDefault="001E6CAE">
      <w:pPr>
        <w:pStyle w:val="Header"/>
        <w:tabs>
          <w:tab w:val="clear" w:pos="9072"/>
        </w:tabs>
        <w:ind w:left="227" w:hanging="227"/>
        <w:rPr>
          <w:lang w:val="fr-BE"/>
        </w:rPr>
      </w:pPr>
    </w:p>
    <w:p w14:paraId="4F59D2B9" w14:textId="77777777" w:rsidR="001E6CAE" w:rsidRPr="00366F31" w:rsidRDefault="001E6CAE">
      <w:pPr>
        <w:pStyle w:val="Heading2"/>
        <w:rPr>
          <w:lang w:val="fr-BE"/>
        </w:rPr>
      </w:pPr>
      <w:r w:rsidRPr="00366F31">
        <w:rPr>
          <w:lang w:val="fr-BE"/>
        </w:rPr>
        <w:t>2.</w:t>
      </w:r>
      <w:r w:rsidRPr="00366F31">
        <w:rPr>
          <w:lang w:val="fr-BE"/>
        </w:rPr>
        <w:tab/>
        <w:t>COMPOSITION QUALITATIVE ET QUANTITATIVE</w:t>
      </w:r>
    </w:p>
    <w:p w14:paraId="43F5E058" w14:textId="77777777" w:rsidR="001E6CAE" w:rsidRPr="00366F31" w:rsidRDefault="001E6CAE">
      <w:pPr>
        <w:tabs>
          <w:tab w:val="left" w:pos="-1440"/>
        </w:tabs>
        <w:ind w:left="270"/>
        <w:rPr>
          <w:lang w:val="fr-BE"/>
        </w:rPr>
      </w:pPr>
    </w:p>
    <w:p w14:paraId="4AAC6157" w14:textId="77777777" w:rsidR="00380D9D" w:rsidRDefault="001E6CAE">
      <w:pPr>
        <w:tabs>
          <w:tab w:val="left" w:pos="-1440"/>
        </w:tabs>
        <w:ind w:left="227"/>
      </w:pPr>
      <w:r w:rsidRPr="00366F31">
        <w:t>Kenacort-A 10 mg/ml : acétonide de triamcinolone 10 mg/ml</w:t>
      </w:r>
    </w:p>
    <w:p w14:paraId="521F2A7C" w14:textId="77777777" w:rsidR="00AB603F" w:rsidRPr="00366F31" w:rsidRDefault="00AB603F">
      <w:pPr>
        <w:tabs>
          <w:tab w:val="left" w:pos="-1440"/>
        </w:tabs>
        <w:ind w:left="227"/>
      </w:pPr>
    </w:p>
    <w:p w14:paraId="10ADB5C2" w14:textId="7A85F0BE" w:rsidR="00EC067E" w:rsidRPr="00366F31" w:rsidRDefault="00EC067E" w:rsidP="00BE753D">
      <w:pPr>
        <w:pStyle w:val="Heading3"/>
        <w:ind w:left="270" w:hanging="43"/>
        <w:rPr>
          <w:u w:val="none"/>
          <w:lang w:val="fr-BE"/>
        </w:rPr>
      </w:pPr>
      <w:r w:rsidRPr="00366F31">
        <w:t>Excipient</w:t>
      </w:r>
      <w:r w:rsidR="00431949">
        <w:t>(</w:t>
      </w:r>
      <w:r w:rsidRPr="00366F31">
        <w:t>s</w:t>
      </w:r>
      <w:r w:rsidR="00431949">
        <w:t>) à effet notoire</w:t>
      </w:r>
      <w:r w:rsidRPr="00366F31">
        <w:rPr>
          <w:u w:val="none"/>
        </w:rPr>
        <w:t xml:space="preserve"> : </w:t>
      </w:r>
      <w:r w:rsidRPr="00366F31">
        <w:rPr>
          <w:u w:val="none"/>
          <w:lang w:val="fr-BE"/>
        </w:rPr>
        <w:t xml:space="preserve">Kenacort-A 10 mg/ml contient 45 mg </w:t>
      </w:r>
      <w:r w:rsidR="00F16DD9" w:rsidRPr="00366F31">
        <w:rPr>
          <w:u w:val="none"/>
          <w:lang w:val="fr-BE"/>
        </w:rPr>
        <w:t>d’</w:t>
      </w:r>
      <w:r w:rsidRPr="00366F31">
        <w:rPr>
          <w:u w:val="none"/>
          <w:lang w:val="fr-BE"/>
        </w:rPr>
        <w:t>alcool benzylique par</w:t>
      </w:r>
      <w:r w:rsidR="00BE753D">
        <w:rPr>
          <w:u w:val="none"/>
          <w:lang w:val="fr-BE"/>
        </w:rPr>
        <w:t xml:space="preserve"> </w:t>
      </w:r>
      <w:r w:rsidRPr="00366F31">
        <w:rPr>
          <w:u w:val="none"/>
          <w:lang w:val="fr-BE"/>
        </w:rPr>
        <w:t>flacon de 5 ml.</w:t>
      </w:r>
    </w:p>
    <w:p w14:paraId="73229DBA" w14:textId="77777777" w:rsidR="00431949" w:rsidRDefault="00431949">
      <w:pPr>
        <w:pStyle w:val="BodyText"/>
        <w:tabs>
          <w:tab w:val="left" w:leader="dot" w:pos="6804"/>
          <w:tab w:val="decimal" w:pos="7655"/>
        </w:tabs>
        <w:spacing w:after="0"/>
        <w:ind w:left="227" w:hanging="227"/>
        <w:rPr>
          <w:rFonts w:ascii="Times New Roman" w:hAnsi="Times New Roman"/>
          <w:lang w:val="fr-BE"/>
        </w:rPr>
      </w:pPr>
    </w:p>
    <w:p w14:paraId="1209E900" w14:textId="3B217933" w:rsidR="001E6CAE" w:rsidRPr="00366F31" w:rsidRDefault="001E6CAE">
      <w:pPr>
        <w:pStyle w:val="BodyText"/>
        <w:tabs>
          <w:tab w:val="left" w:leader="dot" w:pos="6804"/>
          <w:tab w:val="decimal" w:pos="7655"/>
        </w:tabs>
        <w:spacing w:after="0"/>
        <w:ind w:left="227" w:hanging="227"/>
        <w:rPr>
          <w:rFonts w:ascii="Times New Roman" w:hAnsi="Times New Roman"/>
          <w:lang w:val="fr-BE"/>
        </w:rPr>
      </w:pPr>
      <w:r w:rsidRPr="00366F31">
        <w:rPr>
          <w:rFonts w:ascii="Times New Roman" w:hAnsi="Times New Roman"/>
          <w:lang w:val="fr-BE"/>
        </w:rPr>
        <w:tab/>
        <w:t xml:space="preserve">Pour </w:t>
      </w:r>
      <w:r w:rsidR="00154437" w:rsidRPr="00366F31">
        <w:rPr>
          <w:rFonts w:ascii="Times New Roman" w:hAnsi="Times New Roman"/>
          <w:lang w:val="fr-BE"/>
        </w:rPr>
        <w:t>la liste complète d</w:t>
      </w:r>
      <w:r w:rsidRPr="00366F31">
        <w:rPr>
          <w:rFonts w:ascii="Times New Roman" w:hAnsi="Times New Roman"/>
          <w:lang w:val="fr-BE"/>
        </w:rPr>
        <w:t>es excipients, voir rubrique 6.1.</w:t>
      </w:r>
    </w:p>
    <w:p w14:paraId="213C655E" w14:textId="77777777" w:rsidR="001E6CAE" w:rsidRPr="00366F31" w:rsidRDefault="001E6CAE">
      <w:pPr>
        <w:pStyle w:val="BodyText"/>
        <w:tabs>
          <w:tab w:val="left" w:leader="dot" w:pos="6804"/>
          <w:tab w:val="decimal" w:pos="7655"/>
        </w:tabs>
        <w:spacing w:after="0"/>
        <w:ind w:left="227" w:hanging="227"/>
        <w:rPr>
          <w:rFonts w:ascii="Times New Roman" w:hAnsi="Times New Roman"/>
          <w:lang w:val="fr-BE"/>
        </w:rPr>
      </w:pPr>
    </w:p>
    <w:p w14:paraId="25097BC0" w14:textId="77777777" w:rsidR="001E6CAE" w:rsidRPr="00366F31" w:rsidRDefault="001E6CAE">
      <w:pPr>
        <w:pStyle w:val="Heading2"/>
        <w:rPr>
          <w:lang w:val="fr-BE"/>
        </w:rPr>
      </w:pPr>
      <w:r w:rsidRPr="00366F31">
        <w:rPr>
          <w:lang w:val="fr-BE"/>
        </w:rPr>
        <w:t>3.</w:t>
      </w:r>
      <w:r w:rsidRPr="00366F31">
        <w:rPr>
          <w:lang w:val="fr-BE"/>
        </w:rPr>
        <w:tab/>
        <w:t>FORME PHARMACEUTIQUE</w:t>
      </w:r>
    </w:p>
    <w:p w14:paraId="77DD3BDB" w14:textId="77777777" w:rsidR="001E6CAE" w:rsidRPr="00366F31" w:rsidRDefault="001E6CAE">
      <w:pPr>
        <w:ind w:left="227" w:hanging="227"/>
        <w:rPr>
          <w:lang w:val="fr-BE"/>
        </w:rPr>
      </w:pPr>
    </w:p>
    <w:p w14:paraId="7D4E28DB" w14:textId="77777777" w:rsidR="001E6CAE" w:rsidRDefault="001E6CAE">
      <w:pPr>
        <w:ind w:left="227"/>
        <w:rPr>
          <w:lang w:val="fr-BE"/>
        </w:rPr>
      </w:pPr>
      <w:r w:rsidRPr="00366F31">
        <w:rPr>
          <w:lang w:val="fr-BE"/>
        </w:rPr>
        <w:t>Suspension injectable.</w:t>
      </w:r>
    </w:p>
    <w:p w14:paraId="3A8253C4" w14:textId="77777777" w:rsidR="00431949" w:rsidRDefault="00431949">
      <w:pPr>
        <w:ind w:left="227"/>
        <w:rPr>
          <w:lang w:val="fr-BE"/>
        </w:rPr>
      </w:pPr>
      <w:r>
        <w:rPr>
          <w:lang w:val="fr-BE"/>
        </w:rPr>
        <w:t xml:space="preserve">Kenacort-A 10 mg/ml est </w:t>
      </w:r>
      <w:r w:rsidR="00FF68BB">
        <w:rPr>
          <w:color w:val="222222"/>
        </w:rPr>
        <w:t>une suspension liquide blanche à blanc cassé.</w:t>
      </w:r>
    </w:p>
    <w:p w14:paraId="34D469EF" w14:textId="77777777" w:rsidR="00431949" w:rsidRPr="00366F31" w:rsidRDefault="00431949">
      <w:pPr>
        <w:ind w:left="227"/>
        <w:rPr>
          <w:lang w:val="fr-BE"/>
        </w:rPr>
      </w:pPr>
    </w:p>
    <w:p w14:paraId="53F0C699" w14:textId="77777777" w:rsidR="00791D15" w:rsidRPr="00366F31" w:rsidRDefault="00791D15" w:rsidP="00791D15">
      <w:pPr>
        <w:ind w:left="227"/>
        <w:rPr>
          <w:lang w:val="fr-BE"/>
        </w:rPr>
      </w:pPr>
      <w:r w:rsidRPr="00366F31">
        <w:rPr>
          <w:lang w:val="fr-BE"/>
        </w:rPr>
        <w:t>Cette formulation n’est pas adaptée à l’administration intraveineuse, intramusculaire ou intraoculaire.</w:t>
      </w:r>
    </w:p>
    <w:p w14:paraId="56FFAE14" w14:textId="77777777" w:rsidR="008F42D6" w:rsidRPr="00366F31" w:rsidRDefault="008F42D6">
      <w:pPr>
        <w:ind w:left="227"/>
        <w:rPr>
          <w:lang w:val="fr-BE"/>
        </w:rPr>
      </w:pPr>
    </w:p>
    <w:p w14:paraId="29C60E95" w14:textId="77777777" w:rsidR="001E6CAE" w:rsidRPr="00366F31" w:rsidRDefault="001E6CAE">
      <w:pPr>
        <w:ind w:left="227"/>
        <w:rPr>
          <w:lang w:val="fr-BE"/>
        </w:rPr>
      </w:pPr>
    </w:p>
    <w:p w14:paraId="2E2A3163" w14:textId="77777777" w:rsidR="001E6CAE" w:rsidRPr="00366F31" w:rsidRDefault="001E6CAE">
      <w:pPr>
        <w:pStyle w:val="Heading2"/>
        <w:rPr>
          <w:lang w:val="fr-BE"/>
        </w:rPr>
      </w:pPr>
      <w:r w:rsidRPr="00366F31">
        <w:rPr>
          <w:lang w:val="fr-BE"/>
        </w:rPr>
        <w:t>4.</w:t>
      </w:r>
      <w:r w:rsidRPr="00366F31">
        <w:rPr>
          <w:lang w:val="fr-BE"/>
        </w:rPr>
        <w:tab/>
      </w:r>
      <w:r w:rsidR="00FF68BB">
        <w:rPr>
          <w:lang w:val="fr-BE"/>
        </w:rPr>
        <w:t>INFORMATIONS</w:t>
      </w:r>
      <w:r w:rsidRPr="00366F31">
        <w:rPr>
          <w:lang w:val="fr-BE"/>
        </w:rPr>
        <w:t xml:space="preserve"> CLINIQUES</w:t>
      </w:r>
    </w:p>
    <w:p w14:paraId="23B572D7" w14:textId="77777777" w:rsidR="001E6CAE" w:rsidRPr="00366F31" w:rsidRDefault="001E6CAE">
      <w:pPr>
        <w:ind w:left="454" w:hanging="227"/>
        <w:rPr>
          <w:lang w:val="fr-BE"/>
        </w:rPr>
      </w:pPr>
    </w:p>
    <w:p w14:paraId="03036DB6" w14:textId="77777777" w:rsidR="001E6CAE" w:rsidRDefault="001E6CAE">
      <w:pPr>
        <w:pStyle w:val="Heading3"/>
        <w:ind w:left="454" w:hanging="227"/>
        <w:rPr>
          <w:b/>
          <w:bCs/>
          <w:u w:val="none"/>
          <w:lang w:val="fr-BE"/>
        </w:rPr>
      </w:pPr>
      <w:r w:rsidRPr="00431949">
        <w:rPr>
          <w:b/>
          <w:bCs/>
          <w:u w:val="none"/>
          <w:lang w:val="fr-BE"/>
        </w:rPr>
        <w:t>4.1</w:t>
      </w:r>
      <w:r w:rsidRPr="00431949">
        <w:rPr>
          <w:b/>
          <w:bCs/>
          <w:u w:val="none"/>
          <w:lang w:val="fr-BE"/>
        </w:rPr>
        <w:tab/>
        <w:t>Indications thérapeutiques</w:t>
      </w:r>
    </w:p>
    <w:p w14:paraId="35949D29" w14:textId="77777777" w:rsidR="00431949" w:rsidRPr="00431949" w:rsidRDefault="00431949" w:rsidP="00431949">
      <w:pPr>
        <w:rPr>
          <w:lang w:val="fr-BE"/>
        </w:rPr>
      </w:pPr>
    </w:p>
    <w:p w14:paraId="215DF0A9" w14:textId="77777777" w:rsidR="001E6CAE" w:rsidRPr="00366F31" w:rsidRDefault="001E6CAE">
      <w:pPr>
        <w:ind w:left="681"/>
        <w:rPr>
          <w:i/>
        </w:rPr>
      </w:pPr>
      <w:r w:rsidRPr="00366F31">
        <w:rPr>
          <w:i/>
        </w:rPr>
        <w:t>Usage intra</w:t>
      </w:r>
      <w:r w:rsidR="00E33F3C" w:rsidRPr="00366F31">
        <w:rPr>
          <w:i/>
        </w:rPr>
        <w:t>-</w:t>
      </w:r>
      <w:r w:rsidRPr="00366F31">
        <w:rPr>
          <w:i/>
        </w:rPr>
        <w:t>articulaire :</w:t>
      </w:r>
    </w:p>
    <w:p w14:paraId="2BE647CE" w14:textId="7F7196B7" w:rsidR="001E6CAE" w:rsidRPr="00366F31" w:rsidRDefault="001E6CAE">
      <w:pPr>
        <w:ind w:left="681"/>
      </w:pPr>
      <w:r w:rsidRPr="00366F31">
        <w:t xml:space="preserve">Le Kenacort-A 10 mg/ml s'administre par voie </w:t>
      </w:r>
      <w:r w:rsidR="00E33F3C" w:rsidRPr="00366F31">
        <w:t>intra-articulaire</w:t>
      </w:r>
      <w:r w:rsidRPr="00366F31">
        <w:t>, dans les bourses séreuses ou dans la gaine des tendons, à titre de traitement d'appoint de courte durée au cours d'un accès aigu ou d'une exacerbation des affections reprises ci-après</w:t>
      </w:r>
      <w:r w:rsidR="003A58EA">
        <w:t xml:space="preserve"> </w:t>
      </w:r>
      <w:r w:rsidRPr="00366F31">
        <w:t>: ost</w:t>
      </w:r>
      <w:r w:rsidR="00027A54">
        <w:t>é</w:t>
      </w:r>
      <w:r w:rsidRPr="00366F31">
        <w:t>oarthropathie, arthrose, arthrite rhumatismale, bursite aiguë ou subaiguë, arthrite goutteuse aiguë, épicondylite, ténosynovite aiguë non spécifique, arthrose post-traumatique.</w:t>
      </w:r>
    </w:p>
    <w:p w14:paraId="3C5D7D75" w14:textId="77777777" w:rsidR="001E6CAE" w:rsidRPr="00366F31" w:rsidRDefault="001E6CAE">
      <w:pPr>
        <w:ind w:left="681"/>
      </w:pPr>
    </w:p>
    <w:p w14:paraId="69A2C040" w14:textId="77777777" w:rsidR="001E6CAE" w:rsidRPr="00366F31" w:rsidRDefault="001E6CAE">
      <w:pPr>
        <w:ind w:left="681"/>
        <w:rPr>
          <w:i/>
        </w:rPr>
      </w:pPr>
      <w:r w:rsidRPr="00366F31">
        <w:rPr>
          <w:i/>
        </w:rPr>
        <w:t>Usage intradermique :</w:t>
      </w:r>
    </w:p>
    <w:p w14:paraId="23B653C8" w14:textId="2A1A533C" w:rsidR="001E6CAE" w:rsidRPr="00366F31" w:rsidRDefault="001E6CAE">
      <w:pPr>
        <w:ind w:left="681"/>
      </w:pPr>
      <w:r w:rsidRPr="00366F31">
        <w:t>Le Kenacort-A 10 mg/ml est indiqué, en administration intralésio</w:t>
      </w:r>
      <w:r w:rsidR="00027A54">
        <w:t>n</w:t>
      </w:r>
      <w:r w:rsidRPr="00366F31">
        <w:t>nelle, dans le traitement des chéloïdes, du lupus érythémateux discoïde, de la nécrobiose lipoïdique, de la pelade et des lésions dermiques localisées, inflammatoires, hypertrophiques et infiltrées telles que lichen plan, plaques psoriasiques, granulome annulaire, névrodermite.</w:t>
      </w:r>
    </w:p>
    <w:p w14:paraId="24B8F527" w14:textId="77777777" w:rsidR="001E6CAE" w:rsidRPr="00366F31" w:rsidRDefault="001E6CAE">
      <w:pPr>
        <w:ind w:left="681"/>
      </w:pPr>
      <w:r w:rsidRPr="00366F31">
        <w:t>Le Kenacort-A 10 mg/ml peut également se montrer utile dans les tumeurs kystiques d'une aponévrose ou d'un tendon.</w:t>
      </w:r>
    </w:p>
    <w:p w14:paraId="66A1964F" w14:textId="77777777" w:rsidR="001E6CAE" w:rsidRPr="00366F31" w:rsidRDefault="001E6CAE">
      <w:pPr>
        <w:ind w:left="454" w:hanging="227"/>
        <w:rPr>
          <w:lang w:val="fr-BE"/>
        </w:rPr>
      </w:pPr>
    </w:p>
    <w:p w14:paraId="601036EE" w14:textId="77777777" w:rsidR="001E6CAE" w:rsidRPr="00431949" w:rsidRDefault="001E6CAE">
      <w:pPr>
        <w:pStyle w:val="Heading3"/>
        <w:ind w:left="454" w:hanging="227"/>
        <w:rPr>
          <w:b/>
          <w:bCs/>
          <w:u w:val="none"/>
          <w:lang w:val="fr-BE"/>
        </w:rPr>
      </w:pPr>
      <w:r w:rsidRPr="00431949">
        <w:rPr>
          <w:b/>
          <w:bCs/>
          <w:u w:val="none"/>
          <w:lang w:val="fr-BE"/>
        </w:rPr>
        <w:t>4.2</w:t>
      </w:r>
      <w:r w:rsidRPr="00431949">
        <w:rPr>
          <w:b/>
          <w:bCs/>
          <w:u w:val="none"/>
          <w:lang w:val="fr-BE"/>
        </w:rPr>
        <w:tab/>
        <w:t>Posologie et mode d’administration</w:t>
      </w:r>
    </w:p>
    <w:p w14:paraId="69182751" w14:textId="77777777" w:rsidR="00E17DD5" w:rsidRPr="00366F31" w:rsidRDefault="00E17DD5">
      <w:pPr>
        <w:ind w:left="681" w:hanging="227"/>
        <w:rPr>
          <w:lang w:val="fr-BE"/>
        </w:rPr>
      </w:pPr>
    </w:p>
    <w:p w14:paraId="5EA94CFA" w14:textId="77777777" w:rsidR="001E6CAE" w:rsidRPr="00366F31" w:rsidRDefault="001E6CAE">
      <w:pPr>
        <w:pStyle w:val="Heading9"/>
        <w:tabs>
          <w:tab w:val="left" w:pos="1276"/>
        </w:tabs>
        <w:ind w:hanging="227"/>
        <w:jc w:val="left"/>
        <w:rPr>
          <w:sz w:val="24"/>
          <w:lang w:val="fr-BE"/>
        </w:rPr>
      </w:pPr>
      <w:r w:rsidRPr="00366F31">
        <w:rPr>
          <w:sz w:val="24"/>
          <w:u w:val="none"/>
          <w:lang w:val="fr-BE"/>
        </w:rPr>
        <w:tab/>
      </w:r>
      <w:r w:rsidRPr="00366F31">
        <w:rPr>
          <w:sz w:val="24"/>
          <w:lang w:val="fr-BE"/>
        </w:rPr>
        <w:t>Posologie</w:t>
      </w:r>
    </w:p>
    <w:p w14:paraId="1FFB0B02" w14:textId="77777777" w:rsidR="001E6CAE" w:rsidRPr="00366F31" w:rsidRDefault="001E6CAE">
      <w:pPr>
        <w:ind w:left="681"/>
      </w:pPr>
    </w:p>
    <w:p w14:paraId="7CE20CB0" w14:textId="77777777" w:rsidR="001E6CAE" w:rsidRPr="00366F31" w:rsidRDefault="001E6CAE">
      <w:pPr>
        <w:ind w:left="681"/>
      </w:pPr>
      <w:r w:rsidRPr="00366F31">
        <w:t>La dose de corticoïdes la plus basse possible sera utilisée pour contrôler l'affection traitée. Une réduction graduelle de la posologie interviendra lorsque cela sera possible.</w:t>
      </w:r>
    </w:p>
    <w:p w14:paraId="070DA84A" w14:textId="77777777" w:rsidR="001E6CAE" w:rsidRPr="00366F31" w:rsidRDefault="001E6CAE">
      <w:pPr>
        <w:tabs>
          <w:tab w:val="left" w:pos="1276"/>
        </w:tabs>
        <w:ind w:left="681" w:hanging="227"/>
        <w:rPr>
          <w:lang w:val="fr-BE"/>
        </w:rPr>
      </w:pPr>
    </w:p>
    <w:p w14:paraId="31FDC52C" w14:textId="77777777" w:rsidR="001E6CAE" w:rsidRPr="00366F31" w:rsidRDefault="001E6CAE">
      <w:pPr>
        <w:ind w:left="681"/>
        <w:rPr>
          <w:i/>
        </w:rPr>
      </w:pPr>
      <w:r w:rsidRPr="00366F31">
        <w:rPr>
          <w:i/>
        </w:rPr>
        <w:t xml:space="preserve">Par voie </w:t>
      </w:r>
      <w:r w:rsidR="00E33F3C" w:rsidRPr="00366F31">
        <w:rPr>
          <w:i/>
        </w:rPr>
        <w:t>intra-articulaire</w:t>
      </w:r>
      <w:r w:rsidRPr="00366F31">
        <w:rPr>
          <w:i/>
        </w:rPr>
        <w:t xml:space="preserve"> :</w:t>
      </w:r>
    </w:p>
    <w:p w14:paraId="6F81FBDA" w14:textId="77777777" w:rsidR="001E6CAE" w:rsidRPr="00366F31" w:rsidRDefault="001E6CAE">
      <w:pPr>
        <w:ind w:left="681"/>
      </w:pPr>
      <w:r w:rsidRPr="00366F31">
        <w:t>0,25 à 0,5 ml (2,5 à 5 mg) pour les petites articulations et 0,5 à 1,5 ml (5 à 15 mg) pour les articulations plus importantes.</w:t>
      </w:r>
    </w:p>
    <w:p w14:paraId="68A7D659" w14:textId="77777777" w:rsidR="001E6CAE" w:rsidRPr="00366F31" w:rsidRDefault="001E6CAE">
      <w:pPr>
        <w:ind w:left="681"/>
      </w:pPr>
    </w:p>
    <w:p w14:paraId="09D713CA" w14:textId="77777777" w:rsidR="001E6CAE" w:rsidRPr="00366F31" w:rsidRDefault="001E6CAE">
      <w:pPr>
        <w:ind w:left="681"/>
        <w:rPr>
          <w:i/>
        </w:rPr>
      </w:pPr>
      <w:r w:rsidRPr="00366F31">
        <w:rPr>
          <w:i/>
        </w:rPr>
        <w:t>Par voie intradermique :</w:t>
      </w:r>
    </w:p>
    <w:p w14:paraId="1B1EDEBD" w14:textId="77777777" w:rsidR="001E6CAE" w:rsidRPr="00366F31" w:rsidRDefault="001E6CAE">
      <w:pPr>
        <w:ind w:left="681"/>
      </w:pPr>
      <w:r w:rsidRPr="00366F31">
        <w:t>La dose initiale de triamcinolone variera selon le type d'affection mais ne dépassera pas 1,0 mg (0,1 ml) par site d'injection en raison du risque d'atrophie cutanée si des volumes plus importants sont utilisés.</w:t>
      </w:r>
    </w:p>
    <w:p w14:paraId="0A53AE8A" w14:textId="77777777" w:rsidR="001E6CAE" w:rsidRPr="00366F31" w:rsidRDefault="001E6CAE">
      <w:pPr>
        <w:ind w:left="681"/>
      </w:pPr>
      <w:r w:rsidRPr="00366F31">
        <w:t>Plusieurs sites (séparés par 1 cm au moins) peuvent être injectés, en ne perdant pas de vue que plus la quantité utilisée est importante, plus la quantité r</w:t>
      </w:r>
      <w:r w:rsidR="00154437" w:rsidRPr="00366F31">
        <w:t>é</w:t>
      </w:r>
      <w:r w:rsidRPr="00366F31">
        <w:t>sorbée par voie systémique risque d'entraîner des effets indésirables.</w:t>
      </w:r>
    </w:p>
    <w:p w14:paraId="475B8840" w14:textId="77777777" w:rsidR="001E6CAE" w:rsidRPr="00366F31" w:rsidRDefault="001E6CAE">
      <w:pPr>
        <w:ind w:left="681"/>
      </w:pPr>
      <w:r w:rsidRPr="00366F31">
        <w:t>Les dosages faibles utilisés en début de traitement peuvent être suffisants.</w:t>
      </w:r>
    </w:p>
    <w:p w14:paraId="1D86C7DC" w14:textId="77777777" w:rsidR="001E6CAE" w:rsidRPr="00366F31" w:rsidRDefault="001E6CAE">
      <w:pPr>
        <w:ind w:left="681"/>
      </w:pPr>
    </w:p>
    <w:p w14:paraId="56ADF6C5" w14:textId="77777777" w:rsidR="001E6CAE" w:rsidRPr="00366F31" w:rsidRDefault="001E6CAE">
      <w:pPr>
        <w:ind w:left="681"/>
      </w:pPr>
      <w:r w:rsidRPr="00366F31">
        <w:t>Il y a lieu d'insister sur le fait que les quantités de Kenacort-A 10 mg/ml nécessaires sont variables et doivent être individualisées selon le type d'affection et la réponse du patient.</w:t>
      </w:r>
    </w:p>
    <w:p w14:paraId="6AE0D814" w14:textId="77777777" w:rsidR="001E6CAE" w:rsidRPr="00366F31" w:rsidRDefault="001E6CAE">
      <w:pPr>
        <w:ind w:left="681"/>
        <w:rPr>
          <w:rFonts w:ascii="Univers" w:hAnsi="Univers"/>
        </w:rPr>
      </w:pPr>
      <w:r w:rsidRPr="00366F31">
        <w:t>L'interruption d'un traitement de longue durée doit se faire graduellement.</w:t>
      </w:r>
    </w:p>
    <w:p w14:paraId="4ECE626A" w14:textId="77777777" w:rsidR="001E6CAE" w:rsidRPr="00366F31" w:rsidRDefault="001E6CAE">
      <w:pPr>
        <w:pStyle w:val="Header"/>
        <w:tabs>
          <w:tab w:val="clear" w:pos="9072"/>
        </w:tabs>
        <w:ind w:left="454" w:firstLine="227"/>
      </w:pPr>
    </w:p>
    <w:p w14:paraId="5EA24CC1" w14:textId="77777777" w:rsidR="0089477C" w:rsidRPr="00366F31" w:rsidRDefault="0089477C" w:rsidP="0089477C">
      <w:pPr>
        <w:ind w:left="454" w:firstLine="227"/>
        <w:rPr>
          <w:i/>
          <w:noProof/>
          <w:szCs w:val="22"/>
        </w:rPr>
      </w:pPr>
      <w:r w:rsidRPr="00366F31">
        <w:rPr>
          <w:i/>
          <w:noProof/>
          <w:szCs w:val="22"/>
        </w:rPr>
        <w:t>Population pédiatrique</w:t>
      </w:r>
    </w:p>
    <w:p w14:paraId="13677690" w14:textId="77777777" w:rsidR="0089477C" w:rsidRPr="00366F31" w:rsidRDefault="0089477C">
      <w:pPr>
        <w:pStyle w:val="Header"/>
        <w:tabs>
          <w:tab w:val="clear" w:pos="9072"/>
        </w:tabs>
        <w:ind w:left="454" w:firstLine="227"/>
      </w:pPr>
    </w:p>
    <w:p w14:paraId="033C1BC0" w14:textId="77777777" w:rsidR="003C53A6" w:rsidRPr="00366F31" w:rsidRDefault="003C53A6" w:rsidP="003C53A6">
      <w:pPr>
        <w:ind w:left="681"/>
        <w:rPr>
          <w:lang w:val="fr-BE"/>
        </w:rPr>
      </w:pPr>
      <w:r w:rsidRPr="00366F31">
        <w:t xml:space="preserve">Le développement et la croissance des </w:t>
      </w:r>
      <w:r w:rsidRPr="00366F31">
        <w:rPr>
          <w:u w:val="single"/>
        </w:rPr>
        <w:t>enfants</w:t>
      </w:r>
      <w:r w:rsidRPr="00366F31">
        <w:t xml:space="preserve"> sous traitement prolongé par des corticostéroïdes seront observés avec soin. Pour cette raison, ce médicament n’est pas recommandé pour les enfants de moins de 6 ans. </w:t>
      </w:r>
    </w:p>
    <w:p w14:paraId="34015963" w14:textId="77777777" w:rsidR="0089477C" w:rsidRPr="00366F31" w:rsidRDefault="0089477C">
      <w:pPr>
        <w:pStyle w:val="Header"/>
        <w:tabs>
          <w:tab w:val="clear" w:pos="9072"/>
        </w:tabs>
        <w:ind w:left="454" w:firstLine="227"/>
        <w:rPr>
          <w:lang w:val="fr-BE"/>
        </w:rPr>
      </w:pPr>
    </w:p>
    <w:p w14:paraId="32CEED21" w14:textId="77777777" w:rsidR="003C53A6" w:rsidRPr="00366F31" w:rsidRDefault="003C53A6" w:rsidP="003C53A6">
      <w:pPr>
        <w:ind w:left="454" w:firstLine="227"/>
        <w:rPr>
          <w:bCs/>
          <w:i/>
          <w:noProof/>
          <w:szCs w:val="22"/>
        </w:rPr>
      </w:pPr>
      <w:r w:rsidRPr="00366F31">
        <w:rPr>
          <w:i/>
          <w:noProof/>
          <w:szCs w:val="22"/>
        </w:rPr>
        <w:t xml:space="preserve">Population </w:t>
      </w:r>
      <w:r w:rsidR="00F03137" w:rsidRPr="00366F31">
        <w:rPr>
          <w:bCs/>
          <w:i/>
          <w:noProof/>
          <w:szCs w:val="22"/>
        </w:rPr>
        <w:t>gériatrique</w:t>
      </w:r>
    </w:p>
    <w:p w14:paraId="476BE461" w14:textId="77777777" w:rsidR="003C53A6" w:rsidRPr="00366F31" w:rsidRDefault="003C53A6" w:rsidP="003C53A6">
      <w:pPr>
        <w:ind w:left="454" w:firstLine="227"/>
        <w:rPr>
          <w:i/>
          <w:noProof/>
          <w:szCs w:val="22"/>
        </w:rPr>
      </w:pPr>
    </w:p>
    <w:p w14:paraId="11252B77" w14:textId="77777777" w:rsidR="003C53A6" w:rsidRPr="00366F31" w:rsidRDefault="003C53A6" w:rsidP="003C53A6">
      <w:pPr>
        <w:pStyle w:val="Header"/>
        <w:tabs>
          <w:tab w:val="clear" w:pos="9072"/>
        </w:tabs>
        <w:ind w:left="681"/>
        <w:rPr>
          <w:lang w:val="fr-BE"/>
        </w:rPr>
      </w:pPr>
      <w:r w:rsidRPr="00366F31">
        <w:t xml:space="preserve">Une surveillance clinique accrue est recommandée, car les événements indésirables fréquents des corticostéroïdes systémiques peuvent être associés à des conséquences plus graves chez les personnes </w:t>
      </w:r>
      <w:r w:rsidR="00431949">
        <w:t>â</w:t>
      </w:r>
      <w:r w:rsidRPr="00366F31">
        <w:t>gées.</w:t>
      </w:r>
    </w:p>
    <w:p w14:paraId="5A013FFB" w14:textId="77777777" w:rsidR="003C53A6" w:rsidRPr="00366F31" w:rsidRDefault="003C53A6">
      <w:pPr>
        <w:pStyle w:val="Header"/>
        <w:tabs>
          <w:tab w:val="clear" w:pos="9072"/>
        </w:tabs>
        <w:ind w:left="454" w:firstLine="227"/>
        <w:rPr>
          <w:lang w:val="fr-BE"/>
        </w:rPr>
      </w:pPr>
    </w:p>
    <w:p w14:paraId="7D007285" w14:textId="77777777" w:rsidR="001E6CAE" w:rsidRPr="00366F31" w:rsidRDefault="001E6CAE">
      <w:pPr>
        <w:pStyle w:val="Heading7"/>
        <w:jc w:val="left"/>
        <w:rPr>
          <w:lang w:val="fr-BE"/>
        </w:rPr>
      </w:pPr>
      <w:r w:rsidRPr="00366F31">
        <w:rPr>
          <w:lang w:val="fr-BE"/>
        </w:rPr>
        <w:t>Mode d’administration</w:t>
      </w:r>
    </w:p>
    <w:p w14:paraId="15365F91" w14:textId="77777777" w:rsidR="00945DF1" w:rsidRPr="00366F31" w:rsidRDefault="00945DF1" w:rsidP="00945DF1">
      <w:pPr>
        <w:rPr>
          <w:lang w:val="fr-BE"/>
        </w:rPr>
      </w:pPr>
    </w:p>
    <w:p w14:paraId="61FCEBE8" w14:textId="77777777" w:rsidR="001A54AD" w:rsidRPr="00366F31" w:rsidRDefault="001E6CAE">
      <w:pPr>
        <w:ind w:left="681"/>
      </w:pPr>
      <w:r w:rsidRPr="00366F31">
        <w:t>Etant donné que la préparation se présente sous forme d'une suspension, elle ne sera pas administrée par voie intraveineuse.</w:t>
      </w:r>
    </w:p>
    <w:p w14:paraId="3EF2FFE5" w14:textId="77777777" w:rsidR="001E6CAE" w:rsidRPr="00366F31" w:rsidRDefault="00791D15">
      <w:pPr>
        <w:ind w:left="681"/>
        <w:rPr>
          <w:lang w:val="fr-BE"/>
        </w:rPr>
      </w:pPr>
      <w:r w:rsidRPr="00366F31">
        <w:rPr>
          <w:lang w:val="fr-BE"/>
        </w:rPr>
        <w:t>Cette formulation n’est pas adaptée à l’administration intramusculaire ou intraoculaire.</w:t>
      </w:r>
    </w:p>
    <w:p w14:paraId="0B4FBB27" w14:textId="77777777" w:rsidR="00791D15" w:rsidRDefault="00791D15">
      <w:pPr>
        <w:ind w:left="681"/>
      </w:pPr>
    </w:p>
    <w:p w14:paraId="0CCB7B2C" w14:textId="77777777" w:rsidR="00431949" w:rsidRDefault="00431949">
      <w:pPr>
        <w:ind w:left="681"/>
      </w:pPr>
      <w:r>
        <w:t>Kenacort-A 10 mg/ml suspension injectable est</w:t>
      </w:r>
      <w:r w:rsidR="00FF68BB">
        <w:t xml:space="preserve"> à</w:t>
      </w:r>
      <w:r>
        <w:t xml:space="preserve"> usage unique et </w:t>
      </w:r>
      <w:r w:rsidR="00FF68BB">
        <w:t xml:space="preserve">ensuite, </w:t>
      </w:r>
      <w:r w:rsidR="00FF68BB">
        <w:rPr>
          <w:color w:val="222222"/>
        </w:rPr>
        <w:t>doit être jeté.</w:t>
      </w:r>
    </w:p>
    <w:p w14:paraId="7540FCB4" w14:textId="77777777" w:rsidR="00431949" w:rsidRPr="00366F31" w:rsidRDefault="00431949">
      <w:pPr>
        <w:ind w:left="681"/>
      </w:pPr>
    </w:p>
    <w:p w14:paraId="592B8EA8" w14:textId="77777777" w:rsidR="001E6CAE" w:rsidRPr="00366F31" w:rsidRDefault="001E6CAE">
      <w:pPr>
        <w:ind w:left="681"/>
      </w:pPr>
      <w:r w:rsidRPr="00366F31">
        <w:t>Agiter le flacon avant l'usage afin d'obtenir une suspension uniforme. S'il persiste des agglomérats (exposition à des températures de congélation), ne pas utiliser.</w:t>
      </w:r>
    </w:p>
    <w:p w14:paraId="770CBA3D" w14:textId="77777777" w:rsidR="001E6CAE" w:rsidRPr="00366F31" w:rsidRDefault="001E6CAE">
      <w:pPr>
        <w:ind w:left="681"/>
      </w:pPr>
      <w:r w:rsidRPr="00366F31">
        <w:t>Injecter sans délai afin d'éviter un dépôt dans la seringue.</w:t>
      </w:r>
    </w:p>
    <w:p w14:paraId="3E51B5FD" w14:textId="77777777" w:rsidR="001E6CAE" w:rsidRPr="00366F31" w:rsidRDefault="001E6CAE">
      <w:pPr>
        <w:ind w:left="681"/>
      </w:pPr>
      <w:r w:rsidRPr="00366F31">
        <w:t>Prendre les précautions d'usage afin d'éviter d'injecter dans un vaisseau, d’éviter une contamination.</w:t>
      </w:r>
    </w:p>
    <w:p w14:paraId="5FBF8040" w14:textId="77777777" w:rsidR="001E6CAE" w:rsidRPr="00366F31" w:rsidRDefault="001E6CAE">
      <w:pPr>
        <w:ind w:left="681"/>
      </w:pPr>
    </w:p>
    <w:p w14:paraId="50A8132E" w14:textId="77777777" w:rsidR="001E6CAE" w:rsidRPr="00366F31" w:rsidRDefault="001E6CAE">
      <w:pPr>
        <w:ind w:left="681"/>
        <w:rPr>
          <w:i/>
        </w:rPr>
      </w:pPr>
      <w:r w:rsidRPr="00366F31">
        <w:rPr>
          <w:i/>
        </w:rPr>
        <w:t>Articulations, bourses séreuses et gaines tendineuses</w:t>
      </w:r>
    </w:p>
    <w:p w14:paraId="5AF4B62F" w14:textId="77777777" w:rsidR="001E6CAE" w:rsidRPr="00366F31" w:rsidRDefault="001E6CAE">
      <w:pPr>
        <w:ind w:left="681"/>
      </w:pPr>
      <w:r w:rsidRPr="00366F31">
        <w:t xml:space="preserve">L'administration </w:t>
      </w:r>
      <w:r w:rsidR="00E33F3C" w:rsidRPr="00366F31">
        <w:t>intra-articulaire</w:t>
      </w:r>
      <w:r w:rsidRPr="00366F31">
        <w:t xml:space="preserve"> se fera de façon strictement aseptique selon la méthode classique.</w:t>
      </w:r>
    </w:p>
    <w:p w14:paraId="78FE072E" w14:textId="77777777" w:rsidR="001E6CAE" w:rsidRPr="00366F31" w:rsidRDefault="001E6CAE">
      <w:pPr>
        <w:ind w:left="681"/>
      </w:pPr>
    </w:p>
    <w:p w14:paraId="4466754F" w14:textId="77777777" w:rsidR="001E6CAE" w:rsidRPr="00366F31" w:rsidRDefault="001E6CAE">
      <w:pPr>
        <w:ind w:left="681"/>
      </w:pPr>
      <w:r w:rsidRPr="00366F31">
        <w:t>En cas d'excès de liquide synovial, en aspirer une partie afin d'atténuer la douleur et d'éviter une dilution excessive du produit.</w:t>
      </w:r>
    </w:p>
    <w:p w14:paraId="29AF2C72" w14:textId="77777777" w:rsidR="001E6CAE" w:rsidRPr="00366F31" w:rsidRDefault="001E6CAE">
      <w:pPr>
        <w:ind w:left="681"/>
      </w:pPr>
    </w:p>
    <w:p w14:paraId="4048D599" w14:textId="77777777" w:rsidR="001E6CAE" w:rsidRPr="00366F31" w:rsidRDefault="001E6CAE">
      <w:pPr>
        <w:ind w:left="681"/>
      </w:pPr>
      <w:r w:rsidRPr="00366F31">
        <w:t>L'usage d'un anesthésique local peut être souhaité ; les recommandations liées à cet usage doivent être suivies scrupuleusement. L'injection doit se faire dans les tissus environnants et dans une moindre mesure, à l'intérieur de l'articulation.</w:t>
      </w:r>
    </w:p>
    <w:p w14:paraId="453733A9" w14:textId="77777777" w:rsidR="001E6CAE" w:rsidRPr="00366F31" w:rsidRDefault="001E6CAE">
      <w:pPr>
        <w:ind w:left="681"/>
      </w:pPr>
    </w:p>
    <w:p w14:paraId="71C5B581" w14:textId="77777777" w:rsidR="001E6CAE" w:rsidRPr="00366F31" w:rsidRDefault="001E6CAE">
      <w:pPr>
        <w:ind w:left="681"/>
      </w:pPr>
      <w:r w:rsidRPr="00366F31">
        <w:t>Lors du traitement de tendosynovite aiguë non spécifique, prendre soin d'injecter dans la gaine et non dans le tendon lui-même.</w:t>
      </w:r>
    </w:p>
    <w:p w14:paraId="48D11145" w14:textId="77777777" w:rsidR="001E6CAE" w:rsidRPr="00366F31" w:rsidRDefault="001E6CAE">
      <w:pPr>
        <w:ind w:left="681"/>
      </w:pPr>
    </w:p>
    <w:p w14:paraId="17906434" w14:textId="3392A37A" w:rsidR="001E6CAE" w:rsidRPr="00366F31" w:rsidRDefault="001E6CAE">
      <w:pPr>
        <w:ind w:left="681"/>
      </w:pPr>
      <w:r w:rsidRPr="00366F31">
        <w:t>L'épicondylite (</w:t>
      </w:r>
      <w:r w:rsidRPr="003A58EA">
        <w:rPr>
          <w:i/>
          <w:iCs/>
        </w:rPr>
        <w:t>tennis elbow</w:t>
      </w:r>
      <w:r w:rsidRPr="00366F31">
        <w:t>) peut être traitée par infiltration dans la zone où l'</w:t>
      </w:r>
      <w:r w:rsidR="003A58EA" w:rsidRPr="00366F31">
        <w:t>œdème</w:t>
      </w:r>
      <w:r w:rsidRPr="00366F31">
        <w:t xml:space="preserve"> est le plus important.</w:t>
      </w:r>
    </w:p>
    <w:p w14:paraId="1960D418" w14:textId="77777777" w:rsidR="001E6CAE" w:rsidRPr="00366F31" w:rsidRDefault="001E6CAE">
      <w:pPr>
        <w:ind w:left="681"/>
      </w:pPr>
    </w:p>
    <w:p w14:paraId="32B54ED9" w14:textId="77777777" w:rsidR="001E6CAE" w:rsidRPr="00366F31" w:rsidRDefault="001E6CAE">
      <w:pPr>
        <w:ind w:left="681"/>
      </w:pPr>
      <w:r w:rsidRPr="00366F31">
        <w:t xml:space="preserve">Il est nécessaire de prendre les mêmes précautions que pour l'administration </w:t>
      </w:r>
      <w:r w:rsidR="00E33F3C" w:rsidRPr="00366F31">
        <w:t>intra-articulaire</w:t>
      </w:r>
      <w:r w:rsidRPr="00366F31">
        <w:t xml:space="preserve"> de tout autre corticostéroïde.</w:t>
      </w:r>
    </w:p>
    <w:p w14:paraId="709EA229" w14:textId="77777777" w:rsidR="001E6CAE" w:rsidRPr="00366F31" w:rsidRDefault="001E6CAE">
      <w:pPr>
        <w:ind w:left="681"/>
      </w:pPr>
    </w:p>
    <w:p w14:paraId="10BFFC1A" w14:textId="77777777" w:rsidR="001E6CAE" w:rsidRPr="00366F31" w:rsidRDefault="001E6CAE">
      <w:pPr>
        <w:ind w:left="681"/>
      </w:pPr>
      <w:r w:rsidRPr="00366F31">
        <w:rPr>
          <w:i/>
        </w:rPr>
        <w:t>Le traitement des lésions dermiques</w:t>
      </w:r>
      <w:r w:rsidRPr="00366F31">
        <w:rPr>
          <w:b/>
        </w:rPr>
        <w:t xml:space="preserve"> </w:t>
      </w:r>
      <w:r w:rsidRPr="00366F31">
        <w:t>s'effectue en injectant directement dans la lésion, c'est-à-dire en intradermique ou parfois en sous-cutané.</w:t>
      </w:r>
    </w:p>
    <w:p w14:paraId="30373901" w14:textId="77777777" w:rsidR="001E6CAE" w:rsidRPr="00366F31" w:rsidRDefault="001E6CAE">
      <w:pPr>
        <w:ind w:left="681"/>
      </w:pPr>
    </w:p>
    <w:p w14:paraId="5192A0BF" w14:textId="77777777" w:rsidR="001E6CAE" w:rsidRPr="00366F31" w:rsidRDefault="001E6CAE">
      <w:pPr>
        <w:ind w:left="681"/>
      </w:pPr>
      <w:r w:rsidRPr="00366F31">
        <w:t>Afin d'accroître la précision du dosage et de faciliter l'administration, utiliser de préférence une seringue pour tuberculine et une aiguille de petit calibre.</w:t>
      </w:r>
    </w:p>
    <w:p w14:paraId="012DA0DF" w14:textId="77777777" w:rsidR="001E6CAE" w:rsidRPr="00366F31" w:rsidRDefault="001E6CAE">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ind w:left="681"/>
        <w:rPr>
          <w:lang w:val="fr-BE"/>
        </w:rPr>
      </w:pPr>
    </w:p>
    <w:p w14:paraId="4E814A8D" w14:textId="77777777" w:rsidR="001E6CAE" w:rsidRPr="00431949" w:rsidRDefault="001E6CAE">
      <w:pPr>
        <w:pStyle w:val="Heading3"/>
        <w:rPr>
          <w:b/>
          <w:bCs/>
          <w:u w:val="none"/>
          <w:lang w:val="fr-BE"/>
        </w:rPr>
      </w:pPr>
      <w:r w:rsidRPr="00431949">
        <w:rPr>
          <w:b/>
          <w:bCs/>
          <w:u w:val="none"/>
          <w:lang w:val="fr-BE"/>
        </w:rPr>
        <w:t>4.3</w:t>
      </w:r>
      <w:r w:rsidRPr="00431949">
        <w:rPr>
          <w:b/>
          <w:bCs/>
          <w:u w:val="none"/>
          <w:lang w:val="fr-BE"/>
        </w:rPr>
        <w:tab/>
        <w:t>Contre-indications</w:t>
      </w:r>
    </w:p>
    <w:p w14:paraId="5115DE43" w14:textId="77777777" w:rsidR="001E6CAE" w:rsidRPr="00366F31" w:rsidRDefault="001E6CAE">
      <w:pPr>
        <w:ind w:left="681"/>
        <w:rPr>
          <w:lang w:val="fr-BE"/>
        </w:rPr>
      </w:pPr>
    </w:p>
    <w:p w14:paraId="4EFC89E1" w14:textId="77777777" w:rsidR="001D3E6F" w:rsidRDefault="001D3E6F" w:rsidP="00D83B70">
      <w:pPr>
        <w:numPr>
          <w:ilvl w:val="0"/>
          <w:numId w:val="3"/>
        </w:numPr>
        <w:ind w:left="1041"/>
        <w:jc w:val="both"/>
      </w:pPr>
      <w:r>
        <w:t xml:space="preserve">Hypersensibilité à la substance active ou à l’un des excipients </w:t>
      </w:r>
      <w:r w:rsidRPr="00970BE6">
        <w:rPr>
          <w:noProof/>
          <w:szCs w:val="24"/>
          <w:lang w:val="fr-BE"/>
        </w:rPr>
        <w:t>mentionnés à  la rubrique 6.1</w:t>
      </w:r>
      <w:r>
        <w:rPr>
          <w:noProof/>
          <w:szCs w:val="24"/>
          <w:lang w:val="fr-BE"/>
        </w:rPr>
        <w:t xml:space="preserve"> </w:t>
      </w:r>
    </w:p>
    <w:p w14:paraId="494258E6" w14:textId="77777777" w:rsidR="001E6CAE" w:rsidRPr="00366F31" w:rsidRDefault="001E6CAE" w:rsidP="00D83B70">
      <w:pPr>
        <w:numPr>
          <w:ilvl w:val="0"/>
          <w:numId w:val="3"/>
        </w:numPr>
        <w:ind w:left="1041"/>
        <w:jc w:val="both"/>
      </w:pPr>
      <w:r w:rsidRPr="00366F31">
        <w:t xml:space="preserve">Infection articulaire ou périarticulaire </w:t>
      </w:r>
    </w:p>
    <w:p w14:paraId="1159596E" w14:textId="77777777" w:rsidR="001E6CAE" w:rsidRPr="00366F31" w:rsidRDefault="001E6CAE" w:rsidP="00D83B70">
      <w:pPr>
        <w:numPr>
          <w:ilvl w:val="0"/>
          <w:numId w:val="3"/>
        </w:numPr>
        <w:ind w:left="1041"/>
        <w:jc w:val="both"/>
      </w:pPr>
      <w:r w:rsidRPr="00366F31">
        <w:t>Infection dermique locale</w:t>
      </w:r>
    </w:p>
    <w:p w14:paraId="2BC89DB0" w14:textId="77777777" w:rsidR="001E6CAE" w:rsidRPr="00366F31" w:rsidRDefault="001E6CAE" w:rsidP="00D83B70">
      <w:pPr>
        <w:numPr>
          <w:ilvl w:val="0"/>
          <w:numId w:val="3"/>
        </w:numPr>
        <w:ind w:left="1041"/>
        <w:jc w:val="both"/>
      </w:pPr>
      <w:r w:rsidRPr="00366F31">
        <w:t>Infections systémiques et mycosiques</w:t>
      </w:r>
    </w:p>
    <w:p w14:paraId="4A5642C7" w14:textId="43AFE7B0" w:rsidR="00C274E8" w:rsidRPr="00366F31" w:rsidRDefault="0063696D" w:rsidP="005D4362">
      <w:pPr>
        <w:numPr>
          <w:ilvl w:val="0"/>
          <w:numId w:val="3"/>
        </w:numPr>
        <w:ind w:left="1041"/>
        <w:jc w:val="both"/>
      </w:pPr>
      <w:r w:rsidRPr="00366F31">
        <w:t>L’</w:t>
      </w:r>
      <w:r>
        <w:t>a</w:t>
      </w:r>
      <w:r w:rsidRPr="00366F31">
        <w:t>llaitement</w:t>
      </w:r>
    </w:p>
    <w:p w14:paraId="6A4C9DF6" w14:textId="77777777" w:rsidR="00D62973" w:rsidRPr="00366F31" w:rsidRDefault="00D62973" w:rsidP="00D62973">
      <w:pPr>
        <w:numPr>
          <w:ilvl w:val="0"/>
          <w:numId w:val="3"/>
        </w:numPr>
        <w:ind w:left="1041"/>
        <w:jc w:val="both"/>
      </w:pPr>
      <w:r w:rsidRPr="00366F31">
        <w:t xml:space="preserve">Kenacort-A </w:t>
      </w:r>
      <w:r w:rsidR="001D3E6F">
        <w:t xml:space="preserve">10 mg/ml </w:t>
      </w:r>
      <w:r w:rsidRPr="00366F31">
        <w:t>ne doit pas être administré par voie systémique à long terme après le traitement d'urgence lors de la présence des maladies suivantes: anamnèse psychiatrique, herp</w:t>
      </w:r>
      <w:r w:rsidR="003767FF" w:rsidRPr="00366F31">
        <w:t>è</w:t>
      </w:r>
      <w:r w:rsidRPr="00366F31">
        <w:t>s simplex et herp</w:t>
      </w:r>
      <w:r w:rsidR="003767FF" w:rsidRPr="00366F31">
        <w:t>è</w:t>
      </w:r>
      <w:r w:rsidRPr="00366F31">
        <w:t>s zoster, en particulier de la corn</w:t>
      </w:r>
      <w:r w:rsidR="003767FF" w:rsidRPr="00366F31">
        <w:t>é</w:t>
      </w:r>
      <w:r w:rsidRPr="00366F31">
        <w:t xml:space="preserve">e, varicelle et complications </w:t>
      </w:r>
      <w:r w:rsidR="003767FF" w:rsidRPr="00366F31">
        <w:t>fraiches</w:t>
      </w:r>
      <w:r w:rsidRPr="00366F31">
        <w:t xml:space="preserve"> d'une vaccination (il faut en particulier prot</w:t>
      </w:r>
      <w:r w:rsidR="003767FF" w:rsidRPr="00366F31">
        <w:t>é</w:t>
      </w:r>
      <w:r w:rsidRPr="00366F31">
        <w:t>ger les enfants sous</w:t>
      </w:r>
      <w:r w:rsidR="003767FF" w:rsidRPr="00366F31">
        <w:t xml:space="preserve"> </w:t>
      </w:r>
      <w:r w:rsidRPr="00366F31">
        <w:t xml:space="preserve">traitement par </w:t>
      </w:r>
      <w:r w:rsidR="003767FF" w:rsidRPr="00366F31">
        <w:t>glucocorticoïdes</w:t>
      </w:r>
      <w:r w:rsidRPr="00366F31">
        <w:t xml:space="preserve"> du danger de contagion par la varicelle et </w:t>
      </w:r>
      <w:r w:rsidR="003767FF" w:rsidRPr="00366F31">
        <w:t>l</w:t>
      </w:r>
      <w:r w:rsidRPr="00366F31">
        <w:t>'herp</w:t>
      </w:r>
      <w:r w:rsidR="003767FF" w:rsidRPr="00366F31">
        <w:t>è</w:t>
      </w:r>
      <w:r w:rsidRPr="00366F31">
        <w:t>s; cf. «Mises en garde et</w:t>
      </w:r>
      <w:r w:rsidR="003767FF" w:rsidRPr="00366F31">
        <w:t xml:space="preserve"> </w:t>
      </w:r>
      <w:r w:rsidRPr="00366F31">
        <w:t>pr</w:t>
      </w:r>
      <w:r w:rsidR="003767FF" w:rsidRPr="00366F31">
        <w:t>é</w:t>
      </w:r>
      <w:r w:rsidRPr="00366F31">
        <w:t>caution</w:t>
      </w:r>
      <w:r w:rsidR="003767FF" w:rsidRPr="00366F31">
        <w:t xml:space="preserve"> d’emploi</w:t>
      </w:r>
      <w:r w:rsidRPr="00366F31">
        <w:t>»), environ 8 semaines avant</w:t>
      </w:r>
      <w:r w:rsidR="003767FF" w:rsidRPr="00366F31">
        <w:t xml:space="preserve"> j</w:t>
      </w:r>
      <w:r w:rsidRPr="00366F31">
        <w:t>usqu'</w:t>
      </w:r>
      <w:r w:rsidR="003767FF" w:rsidRPr="00366F31">
        <w:t>à</w:t>
      </w:r>
      <w:r w:rsidRPr="00366F31">
        <w:t xml:space="preserve"> 2 semaines apr</w:t>
      </w:r>
      <w:r w:rsidR="003767FF" w:rsidRPr="00366F31">
        <w:t>è</w:t>
      </w:r>
      <w:r w:rsidRPr="00366F31">
        <w:t>s une vaccination prophylactique, infections</w:t>
      </w:r>
      <w:r w:rsidR="003767FF" w:rsidRPr="00366F31">
        <w:t xml:space="preserve"> </w:t>
      </w:r>
      <w:r w:rsidRPr="00366F31">
        <w:t>amibiennes, mycoses syst</w:t>
      </w:r>
      <w:r w:rsidR="003767FF" w:rsidRPr="00366F31">
        <w:t>é</w:t>
      </w:r>
      <w:r w:rsidRPr="00366F31">
        <w:t>miques, ulc</w:t>
      </w:r>
      <w:r w:rsidR="003767FF" w:rsidRPr="00366F31">
        <w:t>è</w:t>
      </w:r>
      <w:r w:rsidRPr="00366F31">
        <w:t>re gastro-intestinal, poliomy</w:t>
      </w:r>
      <w:r w:rsidR="003767FF" w:rsidRPr="00366F31">
        <w:t>é</w:t>
      </w:r>
      <w:r w:rsidRPr="00366F31">
        <w:t xml:space="preserve">lite </w:t>
      </w:r>
      <w:r w:rsidR="003767FF" w:rsidRPr="00366F31">
        <w:t>à</w:t>
      </w:r>
      <w:r w:rsidRPr="00366F31">
        <w:t xml:space="preserve"> </w:t>
      </w:r>
      <w:r w:rsidR="003767FF" w:rsidRPr="00366F31">
        <w:t>l</w:t>
      </w:r>
      <w:r w:rsidRPr="00366F31">
        <w:t xml:space="preserve">'exception de la forme </w:t>
      </w:r>
      <w:r w:rsidR="003767FF" w:rsidRPr="00366F31">
        <w:t>encéphalo-bulbaire</w:t>
      </w:r>
      <w:r w:rsidRPr="00366F31">
        <w:t>,</w:t>
      </w:r>
      <w:r w:rsidR="003767FF" w:rsidRPr="00366F31">
        <w:t xml:space="preserve"> l</w:t>
      </w:r>
      <w:r w:rsidRPr="00366F31">
        <w:t>ymphome apr</w:t>
      </w:r>
      <w:r w:rsidR="003767FF" w:rsidRPr="00366F31">
        <w:t>ès vaccin BC</w:t>
      </w:r>
      <w:r w:rsidRPr="00366F31">
        <w:t>G, ost</w:t>
      </w:r>
      <w:r w:rsidR="003767FF" w:rsidRPr="00366F31">
        <w:t>é</w:t>
      </w:r>
      <w:r w:rsidRPr="00366F31">
        <w:t xml:space="preserve">oporose, glaucome </w:t>
      </w:r>
      <w:r w:rsidR="003767FF" w:rsidRPr="00366F31">
        <w:t>à</w:t>
      </w:r>
      <w:r w:rsidRPr="00366F31">
        <w:t xml:space="preserve"> angle ferme et </w:t>
      </w:r>
      <w:r w:rsidR="003767FF" w:rsidRPr="00366F31">
        <w:t>à</w:t>
      </w:r>
      <w:r w:rsidRPr="00366F31">
        <w:t xml:space="preserve"> angle ouvert</w:t>
      </w:r>
      <w:r w:rsidR="003767FF" w:rsidRPr="00366F31">
        <w:t>.</w:t>
      </w:r>
    </w:p>
    <w:p w14:paraId="1854E61F" w14:textId="77777777" w:rsidR="001E6CAE" w:rsidRPr="00366F31" w:rsidRDefault="001E6CAE" w:rsidP="004540AE">
      <w:pPr>
        <w:ind w:left="1041"/>
        <w:rPr>
          <w:lang w:val="fr-BE"/>
        </w:rPr>
      </w:pPr>
    </w:p>
    <w:p w14:paraId="0C0D017E" w14:textId="77777777" w:rsidR="001E6CAE" w:rsidRPr="00431949" w:rsidRDefault="001E6CAE">
      <w:pPr>
        <w:pStyle w:val="Heading3"/>
        <w:rPr>
          <w:b/>
          <w:bCs/>
          <w:u w:val="none"/>
          <w:lang w:val="fr-BE"/>
        </w:rPr>
      </w:pPr>
      <w:r w:rsidRPr="00431949">
        <w:rPr>
          <w:b/>
          <w:bCs/>
          <w:u w:val="none"/>
          <w:lang w:val="fr-BE"/>
        </w:rPr>
        <w:t>4.4</w:t>
      </w:r>
      <w:r w:rsidRPr="00431949">
        <w:rPr>
          <w:b/>
          <w:bCs/>
          <w:u w:val="none"/>
          <w:lang w:val="fr-BE"/>
        </w:rPr>
        <w:tab/>
        <w:t>Mises en garde spéciales et précautions d’emploi</w:t>
      </w:r>
    </w:p>
    <w:p w14:paraId="69FEE429" w14:textId="77777777" w:rsidR="001E6CAE" w:rsidRPr="00366F31" w:rsidRDefault="001E6CAE">
      <w:pPr>
        <w:ind w:left="681"/>
      </w:pPr>
    </w:p>
    <w:p w14:paraId="7283EB3B" w14:textId="77777777" w:rsidR="001E6CAE" w:rsidRPr="00366F31" w:rsidRDefault="001E6CAE">
      <w:pPr>
        <w:ind w:left="681"/>
        <w:rPr>
          <w:u w:val="single"/>
        </w:rPr>
      </w:pPr>
      <w:r w:rsidRPr="00366F31">
        <w:rPr>
          <w:u w:val="single"/>
        </w:rPr>
        <w:t>Précautions particulières</w:t>
      </w:r>
    </w:p>
    <w:p w14:paraId="49E43DAE" w14:textId="77777777" w:rsidR="001E6CAE" w:rsidRPr="00366F31" w:rsidRDefault="001E6CAE">
      <w:pPr>
        <w:ind w:left="681"/>
      </w:pPr>
    </w:p>
    <w:p w14:paraId="541F10CE" w14:textId="77777777" w:rsidR="001E6CAE" w:rsidRPr="00366F31" w:rsidRDefault="001E6CAE" w:rsidP="00D83B70">
      <w:pPr>
        <w:numPr>
          <w:ilvl w:val="0"/>
          <w:numId w:val="11"/>
        </w:numPr>
        <w:ind w:left="1041"/>
      </w:pPr>
      <w:r w:rsidRPr="00366F31">
        <w:t xml:space="preserve">Les corticostéroïdes seront utilisés avec précaution chez les patients souffrant de </w:t>
      </w:r>
      <w:r w:rsidRPr="00366F31">
        <w:rPr>
          <w:u w:val="single"/>
        </w:rPr>
        <w:t>colite ulcéreuse</w:t>
      </w:r>
      <w:r w:rsidRPr="00366F31">
        <w:t xml:space="preserve"> non spécifique s'il y a risque de perforation menaçante, d'abcès ou d'autre infection pyogénique.</w:t>
      </w:r>
      <w:r w:rsidRPr="00366F31">
        <w:br/>
        <w:t xml:space="preserve">Les corticostéroïdes seront aussi utilisés avec précaution chez les patients souffrant de </w:t>
      </w:r>
      <w:r w:rsidRPr="00366F31">
        <w:rPr>
          <w:u w:val="single"/>
        </w:rPr>
        <w:t>diverticulite</w:t>
      </w:r>
      <w:r w:rsidRPr="00366F31">
        <w:t>, d'</w:t>
      </w:r>
      <w:r w:rsidRPr="00366F31">
        <w:rPr>
          <w:u w:val="single"/>
        </w:rPr>
        <w:t>anastomose intestinale</w:t>
      </w:r>
      <w:r w:rsidRPr="00366F31">
        <w:t xml:space="preserve"> récente, d'</w:t>
      </w:r>
      <w:r w:rsidRPr="00366F31">
        <w:rPr>
          <w:u w:val="single"/>
        </w:rPr>
        <w:t>ulcère gastroduodénal</w:t>
      </w:r>
      <w:r w:rsidRPr="00366F31">
        <w:t xml:space="preserve"> actif ou latent, d'</w:t>
      </w:r>
      <w:r w:rsidRPr="00366F31">
        <w:rPr>
          <w:u w:val="single"/>
        </w:rPr>
        <w:t>insuffisance rénale</w:t>
      </w:r>
      <w:r w:rsidRPr="00366F31">
        <w:t>, d'</w:t>
      </w:r>
      <w:r w:rsidRPr="00366F31">
        <w:rPr>
          <w:u w:val="single"/>
        </w:rPr>
        <w:t>hypertension</w:t>
      </w:r>
      <w:r w:rsidRPr="00366F31">
        <w:t>, d'</w:t>
      </w:r>
      <w:r w:rsidRPr="00366F31">
        <w:rPr>
          <w:u w:val="single"/>
        </w:rPr>
        <w:t>ostéoporose</w:t>
      </w:r>
      <w:r w:rsidRPr="00366F31">
        <w:t xml:space="preserve">, de </w:t>
      </w:r>
      <w:r w:rsidRPr="00366F31">
        <w:rPr>
          <w:u w:val="single"/>
        </w:rPr>
        <w:t>glomérulonéphrite aiguë</w:t>
      </w:r>
      <w:r w:rsidRPr="00366F31">
        <w:t xml:space="preserve">, de </w:t>
      </w:r>
      <w:r w:rsidRPr="00366F31">
        <w:rPr>
          <w:u w:val="single"/>
        </w:rPr>
        <w:t>varicelle</w:t>
      </w:r>
      <w:r w:rsidRPr="00366F31">
        <w:t xml:space="preserve">, de </w:t>
      </w:r>
      <w:r w:rsidR="00942AAB" w:rsidRPr="00366F31">
        <w:rPr>
          <w:u w:val="single"/>
        </w:rPr>
        <w:t>varioles</w:t>
      </w:r>
      <w:r w:rsidRPr="00366F31">
        <w:t>, d'</w:t>
      </w:r>
      <w:r w:rsidRPr="00366F31">
        <w:rPr>
          <w:u w:val="single"/>
        </w:rPr>
        <w:t>exanthème</w:t>
      </w:r>
      <w:r w:rsidRPr="00366F31">
        <w:t xml:space="preserve">, du </w:t>
      </w:r>
      <w:r w:rsidRPr="00366F31">
        <w:rPr>
          <w:u w:val="single"/>
        </w:rPr>
        <w:t>syndrome de Cushing</w:t>
      </w:r>
      <w:r w:rsidRPr="00366F31">
        <w:t>, d'</w:t>
      </w:r>
      <w:r w:rsidRPr="00366F31">
        <w:rPr>
          <w:u w:val="single"/>
        </w:rPr>
        <w:t>infections</w:t>
      </w:r>
      <w:r w:rsidRPr="00366F31">
        <w:t xml:space="preserve"> résistantes aux antibiotiques, de </w:t>
      </w:r>
      <w:r w:rsidRPr="00366F31">
        <w:rPr>
          <w:u w:val="single"/>
        </w:rPr>
        <w:t>diabète</w:t>
      </w:r>
      <w:r w:rsidRPr="00366F31">
        <w:t xml:space="preserve">, de </w:t>
      </w:r>
      <w:r w:rsidRPr="00366F31">
        <w:rPr>
          <w:u w:val="single"/>
        </w:rPr>
        <w:t>glaucome</w:t>
      </w:r>
      <w:r w:rsidRPr="00366F31">
        <w:t>, d’</w:t>
      </w:r>
      <w:r w:rsidRPr="00366F31">
        <w:rPr>
          <w:u w:val="single"/>
        </w:rPr>
        <w:t>épilepsie</w:t>
      </w:r>
      <w:r w:rsidRPr="00366F31">
        <w:t xml:space="preserve">, de </w:t>
      </w:r>
      <w:r w:rsidRPr="00366F31">
        <w:rPr>
          <w:u w:val="single"/>
        </w:rPr>
        <w:lastRenderedPageBreak/>
        <w:t>décompensation cardiaque</w:t>
      </w:r>
      <w:r w:rsidRPr="00366F31">
        <w:t xml:space="preserve">, de </w:t>
      </w:r>
      <w:r w:rsidRPr="00366F31">
        <w:rPr>
          <w:u w:val="single"/>
        </w:rPr>
        <w:t>néphrite chronique</w:t>
      </w:r>
      <w:r w:rsidRPr="00366F31">
        <w:t xml:space="preserve">, de tendances </w:t>
      </w:r>
      <w:r w:rsidRPr="00366F31">
        <w:rPr>
          <w:u w:val="single"/>
        </w:rPr>
        <w:t>thromboemboliques</w:t>
      </w:r>
      <w:r w:rsidRPr="00366F31">
        <w:t xml:space="preserve">, de </w:t>
      </w:r>
      <w:r w:rsidRPr="00366F31">
        <w:rPr>
          <w:u w:val="single"/>
        </w:rPr>
        <w:t>thrombophlébite</w:t>
      </w:r>
      <w:r w:rsidRPr="00366F31">
        <w:t xml:space="preserve">, de </w:t>
      </w:r>
      <w:r w:rsidRPr="00366F31">
        <w:rPr>
          <w:u w:val="single"/>
        </w:rPr>
        <w:t>maladies convulsives</w:t>
      </w:r>
      <w:r w:rsidRPr="00366F31">
        <w:t xml:space="preserve">, de </w:t>
      </w:r>
      <w:r w:rsidRPr="00366F31">
        <w:rPr>
          <w:u w:val="single"/>
        </w:rPr>
        <w:t>carcinome</w:t>
      </w:r>
      <w:r w:rsidRPr="00366F31">
        <w:t xml:space="preserve"> métastasique et de </w:t>
      </w:r>
      <w:r w:rsidRPr="00366F31">
        <w:rPr>
          <w:u w:val="single"/>
        </w:rPr>
        <w:t>myasthénie grave</w:t>
      </w:r>
      <w:r w:rsidRPr="00366F31">
        <w:t>.</w:t>
      </w:r>
    </w:p>
    <w:p w14:paraId="46D48B72" w14:textId="77777777" w:rsidR="001E6CAE" w:rsidRPr="00366F31" w:rsidRDefault="001E6CAE">
      <w:pPr>
        <w:ind w:left="681" w:hanging="454"/>
        <w:rPr>
          <w:lang w:val="fr-BE"/>
        </w:rPr>
      </w:pPr>
    </w:p>
    <w:p w14:paraId="62F681BC" w14:textId="77777777" w:rsidR="001E6CAE" w:rsidRPr="00366F31" w:rsidRDefault="001E6CAE" w:rsidP="00D83B70">
      <w:pPr>
        <w:numPr>
          <w:ilvl w:val="0"/>
          <w:numId w:val="4"/>
        </w:numPr>
        <w:ind w:left="1041"/>
      </w:pPr>
      <w:r w:rsidRPr="00366F31">
        <w:t xml:space="preserve">Lorsque les patients traités par des corticostéroïdes sont soumis à un </w:t>
      </w:r>
      <w:r w:rsidRPr="00366F31">
        <w:rPr>
          <w:u w:val="single"/>
        </w:rPr>
        <w:t>stress</w:t>
      </w:r>
      <w:r w:rsidRPr="00366F31">
        <w:t xml:space="preserve"> </w:t>
      </w:r>
      <w:r w:rsidRPr="00366F31">
        <w:rPr>
          <w:u w:val="single"/>
        </w:rPr>
        <w:t>inhabituel</w:t>
      </w:r>
      <w:r w:rsidRPr="00366F31">
        <w:t>, il est indiqué d'administrer en plus un corticoïde à action rapide avant, pendant et après la période stressante : le Kenacort-A</w:t>
      </w:r>
      <w:r w:rsidR="00682129">
        <w:t xml:space="preserve"> </w:t>
      </w:r>
      <w:r w:rsidRPr="00366F31">
        <w:t xml:space="preserve">10 mg/ml étant une préparation à longue durée d'action, il n'est pas indiqué dans ce cas. </w:t>
      </w:r>
    </w:p>
    <w:p w14:paraId="25DBE3AA" w14:textId="77777777" w:rsidR="001E6CAE" w:rsidRPr="00366F31" w:rsidRDefault="001E6CAE">
      <w:pPr>
        <w:ind w:left="681"/>
      </w:pPr>
    </w:p>
    <w:p w14:paraId="7FB9A67A" w14:textId="77777777" w:rsidR="001E6CAE" w:rsidRPr="00366F31" w:rsidRDefault="001E6CAE" w:rsidP="00D83B70">
      <w:pPr>
        <w:numPr>
          <w:ilvl w:val="0"/>
          <w:numId w:val="7"/>
        </w:numPr>
        <w:ind w:left="1041"/>
      </w:pPr>
      <w:r w:rsidRPr="00366F31">
        <w:t xml:space="preserve">L'utilisation de l'acétonide de triamcinolone chez des patients souffrant d'une </w:t>
      </w:r>
      <w:r w:rsidRPr="00366F31">
        <w:rPr>
          <w:u w:val="single"/>
        </w:rPr>
        <w:t>tuberculose</w:t>
      </w:r>
      <w:r w:rsidRPr="00366F31">
        <w:t xml:space="preserve"> active sera limitée aux cas de tuberculose fulminante ou disséminée dans lesquels le corticostéroïde est utilisé dans le traitement de la maladie en conjonction avec une thérapie antituberculeuse appropriée.</w:t>
      </w:r>
      <w:r w:rsidRPr="00366F31">
        <w:br/>
        <w:t>Si des corticostéroïdes sont utilisés chez des patients souffrant de tuberculose latente ou ayant une réaction positive à la tuberculine, un suivi médical est nécessaire étant donné qu'une réactivation de la maladie peut se produire. Si le traitement est de longue durée, ces patients recevront un traitement prophylactique.</w:t>
      </w:r>
    </w:p>
    <w:p w14:paraId="10349F98" w14:textId="77777777" w:rsidR="001E6CAE" w:rsidRPr="00366F31" w:rsidRDefault="001E6CAE">
      <w:pPr>
        <w:ind w:left="681"/>
      </w:pPr>
    </w:p>
    <w:p w14:paraId="4DDB34B4" w14:textId="77777777" w:rsidR="001E6CAE" w:rsidRPr="00366F31" w:rsidRDefault="001E6CAE" w:rsidP="00D83B70">
      <w:pPr>
        <w:numPr>
          <w:ilvl w:val="0"/>
          <w:numId w:val="7"/>
        </w:numPr>
        <w:ind w:left="1041"/>
      </w:pPr>
      <w:r w:rsidRPr="00366F31">
        <w:t xml:space="preserve">Chez des patients ayant des </w:t>
      </w:r>
      <w:r w:rsidRPr="00366F31">
        <w:rPr>
          <w:u w:val="single"/>
        </w:rPr>
        <w:t>antécédents d’allergies médicamenteuses</w:t>
      </w:r>
      <w:r w:rsidRPr="00366F31">
        <w:t xml:space="preserve">, des précautions particulières seront prises avant l'administration étant donné qu'en de rares cas des réactions anaphylactoïdes se sont produites. </w:t>
      </w:r>
    </w:p>
    <w:p w14:paraId="6D81B6DA" w14:textId="77777777" w:rsidR="001E6CAE" w:rsidRPr="00366F31" w:rsidRDefault="001E6CAE">
      <w:pPr>
        <w:ind w:left="681"/>
      </w:pPr>
    </w:p>
    <w:p w14:paraId="2450C4C1" w14:textId="77777777" w:rsidR="001E6CAE" w:rsidRPr="00366F31" w:rsidRDefault="001E6CAE" w:rsidP="00D83B70">
      <w:pPr>
        <w:numPr>
          <w:ilvl w:val="0"/>
          <w:numId w:val="8"/>
        </w:numPr>
        <w:ind w:left="1041"/>
      </w:pPr>
      <w:r w:rsidRPr="00366F31">
        <w:t xml:space="preserve">Une </w:t>
      </w:r>
      <w:r w:rsidRPr="00366F31">
        <w:rPr>
          <w:u w:val="single"/>
        </w:rPr>
        <w:t>insuffisance des surrénales</w:t>
      </w:r>
      <w:r w:rsidRPr="00366F31">
        <w:t xml:space="preserve"> induite par le produit peut être minimisée par une réduction graduelle de la posologie. Ce type d'insuffisance relative peut persister pendant des mois après l'arrêt du traitement ; dès lors, en cas de situations de stress (tels que traumatisme, opération, maladie sévère) survenant au cours de cette période, le traitement par corticostéroïde sera réinstauré. Etant donné que la sécrétion minéralocorticoïde peut être perturbée, du sel et/ou un minéralocorticostéroïde seront administrés concomitamment.</w:t>
      </w:r>
    </w:p>
    <w:p w14:paraId="4998E7D2" w14:textId="77777777" w:rsidR="001E6CAE" w:rsidRPr="00366F31" w:rsidRDefault="001E6CAE">
      <w:pPr>
        <w:ind w:left="681"/>
      </w:pPr>
    </w:p>
    <w:p w14:paraId="0A02369D" w14:textId="77777777" w:rsidR="001E6CAE" w:rsidRPr="00366F31" w:rsidRDefault="001E6CAE" w:rsidP="00D83B70">
      <w:pPr>
        <w:numPr>
          <w:ilvl w:val="0"/>
          <w:numId w:val="9"/>
        </w:numPr>
        <w:ind w:left="1041"/>
      </w:pPr>
      <w:r w:rsidRPr="00366F31">
        <w:t>L'effet corticostéroïde est augmenté chez les patients souffrant d'hypothyroïdie ou de cirrhose. L’acétonide de triamcinolone doit être utilisé avec prudence en cas d’</w:t>
      </w:r>
      <w:r w:rsidRPr="00366F31">
        <w:rPr>
          <w:u w:val="single"/>
        </w:rPr>
        <w:t>hypothyroïdie</w:t>
      </w:r>
      <w:r w:rsidRPr="00366F31">
        <w:t xml:space="preserve">, de </w:t>
      </w:r>
      <w:r w:rsidRPr="00366F31">
        <w:rPr>
          <w:u w:val="single"/>
        </w:rPr>
        <w:t>cirrhose</w:t>
      </w:r>
      <w:r w:rsidRPr="00366F31">
        <w:t xml:space="preserve"> ou de </w:t>
      </w:r>
      <w:r w:rsidRPr="00366F31">
        <w:rPr>
          <w:u w:val="single"/>
        </w:rPr>
        <w:t>myasthénie grave</w:t>
      </w:r>
      <w:r w:rsidRPr="00366F31">
        <w:t xml:space="preserve"> traitée par anticholinestérasique; dans ce dernier cas, il est recommandé, si possible, d’arrêter le traitement par anticholinestérasique au moins 24 heures avant de commencer un traitement par glucocorticoïde.</w:t>
      </w:r>
    </w:p>
    <w:p w14:paraId="11F5D7EA" w14:textId="77777777" w:rsidR="001E6CAE" w:rsidRPr="00366F31" w:rsidRDefault="001E6CAE">
      <w:pPr>
        <w:ind w:left="681"/>
      </w:pPr>
    </w:p>
    <w:p w14:paraId="1F68EC4C" w14:textId="77777777" w:rsidR="001E6CAE" w:rsidRPr="00366F31" w:rsidRDefault="001E6CAE" w:rsidP="00D83B70">
      <w:pPr>
        <w:numPr>
          <w:ilvl w:val="0"/>
          <w:numId w:val="14"/>
        </w:numPr>
        <w:ind w:left="1041"/>
      </w:pPr>
      <w:r w:rsidRPr="00366F31">
        <w:t xml:space="preserve">L'injection </w:t>
      </w:r>
      <w:r w:rsidR="00E33F3C" w:rsidRPr="00366F31">
        <w:t>intra-articulaire</w:t>
      </w:r>
      <w:r w:rsidRPr="00366F31">
        <w:t xml:space="preserve"> d'un corticostéroïde peut produire des effets systémiques ainsi que des effets locaux. L'injection par inadvertance de la suspension dans les tissus mous entourant une articulation n'est pas nocive mais est souvent la cause d'un échec apparent. Une distension exagérée de la cavité de l'articulation et la présence du corticoïde le long de l'aiguille devraient être évitées en injection </w:t>
      </w:r>
      <w:r w:rsidR="00E33F3C" w:rsidRPr="00366F31">
        <w:t>intra-articulaire</w:t>
      </w:r>
      <w:r w:rsidRPr="00366F31">
        <w:t xml:space="preserve"> car cela peut provoquer une atrophie sous-cutanée.</w:t>
      </w:r>
    </w:p>
    <w:p w14:paraId="173DF39B" w14:textId="77777777" w:rsidR="001E6CAE" w:rsidRPr="00366F31" w:rsidRDefault="001E6CAE"/>
    <w:p w14:paraId="3EB74C89" w14:textId="77777777" w:rsidR="001E6CAE" w:rsidRPr="00366F31" w:rsidRDefault="001E6CAE" w:rsidP="00D83B70">
      <w:pPr>
        <w:numPr>
          <w:ilvl w:val="0"/>
          <w:numId w:val="15"/>
        </w:numPr>
        <w:ind w:left="1041"/>
        <w:rPr>
          <w:rFonts w:ascii="Univers" w:hAnsi="Univers"/>
        </w:rPr>
      </w:pPr>
      <w:r w:rsidRPr="00366F31">
        <w:t xml:space="preserve">Lorsqu'un traitement </w:t>
      </w:r>
      <w:r w:rsidR="00E33F3C" w:rsidRPr="00366F31">
        <w:t>intra-articulaire</w:t>
      </w:r>
      <w:r w:rsidRPr="00366F31">
        <w:t xml:space="preserve"> par corticostéroïdes est appliqué, les patients seront priés d'éviter l'utilisation exagérée des articulations dans lesquelles un résultat symptomatique a été obtenu. Une négligence en ce domaine peut occasionner une augmentation de la détérioration de l'articulation qui effacera les effets bénéfiques du corticoïde.</w:t>
      </w:r>
      <w:r w:rsidRPr="00366F31">
        <w:br/>
        <w:t>Afin de suivre l'évolution de la détérioration, un examen par rayons-X est conseillé dans certains cas.</w:t>
      </w:r>
    </w:p>
    <w:p w14:paraId="19000BB3" w14:textId="77777777" w:rsidR="001E6CAE" w:rsidRPr="00366F31" w:rsidRDefault="001E6CAE">
      <w:pPr>
        <w:ind w:left="681"/>
      </w:pPr>
    </w:p>
    <w:p w14:paraId="31CD8308" w14:textId="77777777" w:rsidR="001E6CAE" w:rsidRPr="00366F31" w:rsidRDefault="001E6CAE" w:rsidP="00D83B70">
      <w:pPr>
        <w:numPr>
          <w:ilvl w:val="0"/>
          <w:numId w:val="17"/>
        </w:numPr>
        <w:ind w:left="1041"/>
      </w:pPr>
      <w:r w:rsidRPr="00366F31">
        <w:t>L'injection locale d'un corticoïde dans une articulation déjà infectée est à éviter.</w:t>
      </w:r>
    </w:p>
    <w:p w14:paraId="34289BCE" w14:textId="77777777" w:rsidR="001E6CAE" w:rsidRPr="00366F31" w:rsidRDefault="001E6CAE">
      <w:pPr>
        <w:ind w:left="681"/>
      </w:pPr>
    </w:p>
    <w:p w14:paraId="14EDF5C5" w14:textId="77777777" w:rsidR="001E6CAE" w:rsidRPr="00366F31" w:rsidRDefault="001E6CAE" w:rsidP="00D83B70">
      <w:pPr>
        <w:numPr>
          <w:ilvl w:val="0"/>
          <w:numId w:val="16"/>
        </w:numPr>
        <w:ind w:left="1041"/>
      </w:pPr>
      <w:r w:rsidRPr="00366F31">
        <w:t xml:space="preserve">Les corticostéroïdes ne seront pas injectés dans des articulations instables. Une injection </w:t>
      </w:r>
      <w:r w:rsidR="00E33F3C" w:rsidRPr="00366F31">
        <w:t>intra-articulaire</w:t>
      </w:r>
      <w:r w:rsidRPr="00366F31">
        <w:t xml:space="preserve"> répétée peut dans certains cas provoquer l'instabilité de l'articulation. Lorsque des injections répétées sont administrées, un suivi radiologique est conseillé.</w:t>
      </w:r>
    </w:p>
    <w:p w14:paraId="07FA486F" w14:textId="77777777" w:rsidR="001E6CAE" w:rsidRPr="00366F31" w:rsidRDefault="001E6CAE">
      <w:pPr>
        <w:ind w:left="681"/>
      </w:pPr>
    </w:p>
    <w:p w14:paraId="27B970D7" w14:textId="77777777" w:rsidR="001E6CAE" w:rsidRPr="00366F31" w:rsidRDefault="001E6CAE" w:rsidP="00D83B70">
      <w:pPr>
        <w:numPr>
          <w:ilvl w:val="0"/>
          <w:numId w:val="17"/>
        </w:numPr>
        <w:ind w:left="1041"/>
      </w:pPr>
      <w:r w:rsidRPr="00366F31">
        <w:t>Au cours d'un traitement de longue durée, un régime riche en protéines est essentiel pour contrecarrer la tendance à perdre graduellement du poids, tendance qui est parfois associée à une balance azotée négative, une émaciation et une faiblesse des muscles squelettiques.</w:t>
      </w:r>
    </w:p>
    <w:p w14:paraId="102AA985" w14:textId="77777777" w:rsidR="001E6CAE" w:rsidRPr="00366F31" w:rsidRDefault="001E6CAE">
      <w:pPr>
        <w:ind w:left="681"/>
      </w:pPr>
    </w:p>
    <w:p w14:paraId="4FB61CBF" w14:textId="77777777" w:rsidR="001E6CAE" w:rsidRPr="00366F31" w:rsidRDefault="001E6CAE" w:rsidP="00D83B70">
      <w:pPr>
        <w:numPr>
          <w:ilvl w:val="0"/>
          <w:numId w:val="18"/>
        </w:numPr>
        <w:ind w:left="1041"/>
      </w:pPr>
      <w:r w:rsidRPr="00366F31">
        <w:t>En cas d'ulcère gastroduodénal, la récurrence peut être asymptomatique jusqu'au moment où la perforation ou l'hémorragie se produit. Un examen radiologique sera effectué chez les patients qui se plaignent de douleurs gastriques ou lorsque le traitement est de longue durée.</w:t>
      </w:r>
    </w:p>
    <w:p w14:paraId="1879A587" w14:textId="77777777" w:rsidR="001E6CAE" w:rsidRPr="00366F31" w:rsidRDefault="001E6CAE">
      <w:pPr>
        <w:ind w:left="681"/>
      </w:pPr>
    </w:p>
    <w:p w14:paraId="0DCFF33A" w14:textId="77777777" w:rsidR="001E6CAE" w:rsidRPr="00366F31" w:rsidRDefault="001E6CAE" w:rsidP="00D83B70">
      <w:pPr>
        <w:numPr>
          <w:ilvl w:val="0"/>
          <w:numId w:val="18"/>
        </w:numPr>
        <w:ind w:left="1041"/>
      </w:pPr>
      <w:r w:rsidRPr="00366F31">
        <w:t>Il est essentiel de continuer la supervision du patient après l'arrêt du traitement étant donné qu'une subite réapparition des symptômes de la maladie peut se manifester.</w:t>
      </w:r>
    </w:p>
    <w:p w14:paraId="7DB2C0F9" w14:textId="77777777" w:rsidR="001E6CAE" w:rsidRPr="00366F31" w:rsidRDefault="001E6CAE">
      <w:pPr>
        <w:ind w:left="681"/>
      </w:pPr>
    </w:p>
    <w:p w14:paraId="4DA2068B" w14:textId="77777777" w:rsidR="00CB2870" w:rsidRPr="00366F31" w:rsidRDefault="001E6CAE" w:rsidP="00CB2870">
      <w:pPr>
        <w:numPr>
          <w:ilvl w:val="0"/>
          <w:numId w:val="18"/>
        </w:numPr>
        <w:ind w:left="1041"/>
      </w:pPr>
      <w:r w:rsidRPr="00366F31">
        <w:t xml:space="preserve">L’acétonide de triamcinolone sera utilisé avec prudence chez </w:t>
      </w:r>
      <w:r w:rsidRPr="00366F31">
        <w:rPr>
          <w:u w:val="single"/>
        </w:rPr>
        <w:t>les personnes âgées</w:t>
      </w:r>
      <w:r w:rsidRPr="00366F31">
        <w:t xml:space="preserve"> en utilisant les doses les plus faibles possibles, pendant un temps le plus court possible.</w:t>
      </w:r>
      <w:r w:rsidR="005D4362" w:rsidRPr="00366F31">
        <w:t xml:space="preserve"> </w:t>
      </w:r>
      <w:r w:rsidR="00CB2870" w:rsidRPr="00366F31">
        <w:t xml:space="preserve">Une surveillance clinique accrue est recommandée, car les événements indésirables fréquents des corticostéroïdes systémiques peuvent être associés à des conséquences plus graves chez les personnes </w:t>
      </w:r>
      <w:r w:rsidR="00431949">
        <w:t>â</w:t>
      </w:r>
      <w:r w:rsidR="00CB2870" w:rsidRPr="00366F31">
        <w:t>gées.</w:t>
      </w:r>
    </w:p>
    <w:p w14:paraId="5BE1E686" w14:textId="77777777" w:rsidR="001E6CAE" w:rsidRPr="00366F31" w:rsidRDefault="001E6CAE" w:rsidP="00CB2870">
      <w:pPr>
        <w:ind w:left="1041"/>
        <w:rPr>
          <w:lang w:val="fr-BE"/>
        </w:rPr>
      </w:pPr>
    </w:p>
    <w:p w14:paraId="04558F54" w14:textId="77777777" w:rsidR="001E6CAE" w:rsidRPr="00366F31" w:rsidRDefault="001E6CAE" w:rsidP="00D83B70">
      <w:pPr>
        <w:numPr>
          <w:ilvl w:val="0"/>
          <w:numId w:val="19"/>
        </w:numPr>
        <w:ind w:left="1041"/>
      </w:pPr>
      <w:r w:rsidRPr="00366F31">
        <w:t>Une surveillance étroite de la kaliémie sera recommandée en cas de prise concomitante de glucocorticoïdes et de substances provoquant une déplétion potassique.</w:t>
      </w:r>
    </w:p>
    <w:p w14:paraId="61684B87" w14:textId="77777777" w:rsidR="001E6CAE" w:rsidRPr="00366F31" w:rsidRDefault="001E6CAE">
      <w:pPr>
        <w:ind w:left="681"/>
      </w:pPr>
    </w:p>
    <w:p w14:paraId="792654DA" w14:textId="77777777" w:rsidR="001E6CAE" w:rsidRPr="00366F31" w:rsidRDefault="001E6CAE">
      <w:pPr>
        <w:ind w:left="681"/>
        <w:rPr>
          <w:u w:val="single"/>
        </w:rPr>
      </w:pPr>
      <w:r w:rsidRPr="00366F31">
        <w:rPr>
          <w:u w:val="single"/>
        </w:rPr>
        <w:t>Mises en garde</w:t>
      </w:r>
    </w:p>
    <w:p w14:paraId="4E923517" w14:textId="77777777" w:rsidR="001E6CAE" w:rsidRPr="00366F31" w:rsidRDefault="001E6CAE">
      <w:pPr>
        <w:ind w:left="681"/>
      </w:pPr>
    </w:p>
    <w:p w14:paraId="5A0BA3F9" w14:textId="77777777" w:rsidR="001E6CAE" w:rsidRDefault="001E6CAE" w:rsidP="0037470B">
      <w:pPr>
        <w:numPr>
          <w:ilvl w:val="0"/>
          <w:numId w:val="5"/>
        </w:numPr>
        <w:ind w:left="1041"/>
      </w:pPr>
      <w:r w:rsidRPr="00366F31">
        <w:t xml:space="preserve">Des doses moyennes et fortes d'hydrocortisone ou de cortisone peuvent provoquer une augmentation de la </w:t>
      </w:r>
      <w:r w:rsidRPr="00366F31">
        <w:rPr>
          <w:u w:val="single"/>
        </w:rPr>
        <w:t>pression sanguine</w:t>
      </w:r>
      <w:r w:rsidRPr="00366F31">
        <w:t xml:space="preserve">, une </w:t>
      </w:r>
      <w:r w:rsidRPr="00366F31">
        <w:rPr>
          <w:u w:val="single"/>
        </w:rPr>
        <w:t>rétention aqueuse et sodée</w:t>
      </w:r>
      <w:r w:rsidRPr="00366F31">
        <w:t xml:space="preserve"> et une </w:t>
      </w:r>
      <w:r w:rsidRPr="00366F31">
        <w:rPr>
          <w:u w:val="single"/>
        </w:rPr>
        <w:t>augmentation de l'excrétion de potassium</w:t>
      </w:r>
      <w:r w:rsidRPr="00366F31">
        <w:t>. Ces effets indésirables sont moins susceptibles d'apparaître avec les dérivés synthétiques sauf s'ils sont utilisés à fortes doses; une diminution dans l'utilisation du sel dans l'alimentation et des suppléments de potassium peuvent être nécessaires. Tous les corticostéroïdes augmentent l'excrétion du calcium. De l'œdème peut apparaître en cas d’affection rénale avec filtration glomérulaire diminuée.</w:t>
      </w:r>
    </w:p>
    <w:p w14:paraId="0B9E6186" w14:textId="77777777" w:rsidR="003E5916" w:rsidRPr="00366F31" w:rsidRDefault="003E5916" w:rsidP="003E5916">
      <w:pPr>
        <w:ind w:left="814"/>
      </w:pPr>
    </w:p>
    <w:p w14:paraId="561011E4" w14:textId="77777777" w:rsidR="003E5916" w:rsidRPr="003E5916" w:rsidRDefault="00C1135C" w:rsidP="0037470B">
      <w:pPr>
        <w:pStyle w:val="ListParagraph"/>
        <w:numPr>
          <w:ilvl w:val="0"/>
          <w:numId w:val="6"/>
        </w:numPr>
        <w:ind w:left="1041"/>
      </w:pPr>
      <w:r>
        <w:t xml:space="preserve">Présence d’alcool benzylique. </w:t>
      </w:r>
      <w:r w:rsidR="0037470B">
        <w:t xml:space="preserve">Les volumes élevés doivent être utilisés avec prudence et en cas de nécessité uniquement, </w:t>
      </w:r>
      <w:r w:rsidR="00E169F0">
        <w:t>en particulier chez les personnes atteintes d’insuffisance hépatique ou rénale</w:t>
      </w:r>
      <w:r>
        <w:t>, en cas de grossesse,</w:t>
      </w:r>
      <w:r w:rsidR="00E169F0">
        <w:t xml:space="preserve"> </w:t>
      </w:r>
      <w:r w:rsidR="0037470B">
        <w:t>en raison du risque d’accumulation et de toxicité (acidose métabolique).</w:t>
      </w:r>
      <w:r w:rsidR="00737C2A">
        <w:t xml:space="preserve"> </w:t>
      </w:r>
    </w:p>
    <w:p w14:paraId="418B4B38" w14:textId="77777777" w:rsidR="001E6CAE" w:rsidRPr="00366F31" w:rsidRDefault="001E6CAE">
      <w:pPr>
        <w:ind w:left="681"/>
      </w:pPr>
    </w:p>
    <w:p w14:paraId="17D172B2" w14:textId="77777777" w:rsidR="001E6CAE" w:rsidRPr="00366F31" w:rsidRDefault="001E6CAE" w:rsidP="0037470B">
      <w:pPr>
        <w:pStyle w:val="BodyText"/>
        <w:numPr>
          <w:ilvl w:val="0"/>
          <w:numId w:val="30"/>
        </w:numPr>
        <w:ind w:hanging="591"/>
        <w:rPr>
          <w:rFonts w:ascii="Times New Roman" w:hAnsi="Times New Roman"/>
        </w:rPr>
      </w:pPr>
      <w:r w:rsidRPr="00366F31">
        <w:rPr>
          <w:rFonts w:ascii="Times New Roman" w:hAnsi="Times New Roman"/>
        </w:rPr>
        <w:t xml:space="preserve">Les patients ne seront pas </w:t>
      </w:r>
      <w:r w:rsidRPr="00366F31">
        <w:rPr>
          <w:rFonts w:ascii="Times New Roman" w:hAnsi="Times New Roman"/>
          <w:u w:val="single"/>
        </w:rPr>
        <w:t>vaccinés</w:t>
      </w:r>
      <w:r w:rsidRPr="00366F31">
        <w:rPr>
          <w:rFonts w:ascii="Times New Roman" w:hAnsi="Times New Roman"/>
        </w:rPr>
        <w:t xml:space="preserve"> au cours d'un traitement par des corticostéroïdes. D'autres </w:t>
      </w:r>
      <w:r w:rsidRPr="00366F31">
        <w:rPr>
          <w:rFonts w:ascii="Times New Roman" w:hAnsi="Times New Roman"/>
          <w:u w:val="single"/>
        </w:rPr>
        <w:t>procédés immunologiques</w:t>
      </w:r>
      <w:r w:rsidRPr="00366F31">
        <w:rPr>
          <w:rFonts w:ascii="Times New Roman" w:hAnsi="Times New Roman"/>
        </w:rPr>
        <w:t xml:space="preserve"> ne seront pas utilisés chez les patients sous corticostéroïdes, spécialement à fortes doses, en raison de la </w:t>
      </w:r>
      <w:r w:rsidRPr="00366F31">
        <w:rPr>
          <w:rFonts w:ascii="Times New Roman" w:hAnsi="Times New Roman"/>
        </w:rPr>
        <w:lastRenderedPageBreak/>
        <w:t>possibilité de complications neurologiques et de l'absence de production d'anticorps.</w:t>
      </w:r>
    </w:p>
    <w:p w14:paraId="5929D7DA" w14:textId="4E58127E" w:rsidR="001E6CAE" w:rsidRPr="00366F31" w:rsidRDefault="00B33CF1" w:rsidP="0037470B">
      <w:pPr>
        <w:pStyle w:val="ListParagraph"/>
        <w:numPr>
          <w:ilvl w:val="0"/>
          <w:numId w:val="8"/>
        </w:numPr>
      </w:pPr>
      <w:r w:rsidRPr="00366F31">
        <w:t>Des études adéquates pour démontrer la sécurité de l’utilisation du Kenacort-A 10 mg/ml en injection sous-conjonctivale, intraturbinale, sub-tenons et rétrobulbaire et intraoculaire (intravitréale) n'ont pas été réalisées. Des cas d’endophtalmite, inflammation oculaire, augmentation de la pression intraoculaire et troubles de la vision ont été rapportés lors d’administration intravitréale. Plusieurs cas de cécité ont été rapportés suite à l’injection de suspensions de corticoïdes dans les fosses nasales et en injection intralésionnelle près de la tête. L’administration de Kenacort-A 10 mg/ml (</w:t>
      </w:r>
      <w:r w:rsidR="00841D61" w:rsidRPr="00366F31">
        <w:t xml:space="preserve">acétonide de triamcinolone </w:t>
      </w:r>
      <w:r w:rsidRPr="00366F31">
        <w:t>suspension injectable) par ces voies n’est pas recommandée.</w:t>
      </w:r>
    </w:p>
    <w:p w14:paraId="354AA116" w14:textId="77777777" w:rsidR="00B33CF1" w:rsidRPr="00366F31" w:rsidRDefault="00B33CF1">
      <w:pPr>
        <w:ind w:left="681"/>
      </w:pPr>
    </w:p>
    <w:p w14:paraId="0B128922" w14:textId="77777777" w:rsidR="001E6CAE" w:rsidRPr="00366F31" w:rsidRDefault="001E6CAE" w:rsidP="00D83B70">
      <w:pPr>
        <w:numPr>
          <w:ilvl w:val="0"/>
          <w:numId w:val="8"/>
        </w:numPr>
        <w:ind w:left="1041"/>
      </w:pPr>
      <w:r w:rsidRPr="00366F31">
        <w:t xml:space="preserve">L'innocuité de l'utilisation du Kenacort-A 10 mg/ml en </w:t>
      </w:r>
      <w:r w:rsidRPr="00366F31">
        <w:rPr>
          <w:u w:val="single"/>
        </w:rPr>
        <w:t>injection sous-conjonctivale</w:t>
      </w:r>
      <w:r w:rsidRPr="00366F31">
        <w:t xml:space="preserve"> et rétrobulbaire n'est pas établie. </w:t>
      </w:r>
    </w:p>
    <w:p w14:paraId="6123A368" w14:textId="77777777" w:rsidR="001E6CAE" w:rsidRPr="00366F31" w:rsidRDefault="001E6CAE">
      <w:pPr>
        <w:ind w:left="681"/>
      </w:pPr>
    </w:p>
    <w:p w14:paraId="2F40C69E" w14:textId="77777777" w:rsidR="001E6CAE" w:rsidRPr="00366F31" w:rsidRDefault="001E6CAE" w:rsidP="00D83B70">
      <w:pPr>
        <w:numPr>
          <w:ilvl w:val="0"/>
          <w:numId w:val="8"/>
        </w:numPr>
        <w:ind w:left="1041"/>
      </w:pPr>
      <w:r w:rsidRPr="00366F31">
        <w:t xml:space="preserve">En raison de l'absence d'une véritable gaine tendineuse, le </w:t>
      </w:r>
      <w:r w:rsidRPr="00366F31">
        <w:rPr>
          <w:u w:val="single"/>
        </w:rPr>
        <w:t>tendon d'Achille</w:t>
      </w:r>
      <w:r w:rsidRPr="00366F31">
        <w:t xml:space="preserve"> ne sera pas traité par des corticoïdes.</w:t>
      </w:r>
    </w:p>
    <w:p w14:paraId="63105C36" w14:textId="77777777" w:rsidR="001E6CAE" w:rsidRPr="00366F31" w:rsidRDefault="001E6CAE">
      <w:pPr>
        <w:ind w:left="681"/>
      </w:pPr>
    </w:p>
    <w:p w14:paraId="05AE6208" w14:textId="77777777" w:rsidR="001E6CAE" w:rsidRPr="00366F31" w:rsidRDefault="001E6CAE" w:rsidP="00D83B70">
      <w:pPr>
        <w:numPr>
          <w:ilvl w:val="0"/>
          <w:numId w:val="10"/>
        </w:numPr>
        <w:ind w:left="1041"/>
      </w:pPr>
      <w:r w:rsidRPr="00366F31">
        <w:t>Une instabilité émotionnelle existante ou des tendances psychotiques peuvent être aggravées par les corticostéroïdes.</w:t>
      </w:r>
    </w:p>
    <w:p w14:paraId="0DF37B4A" w14:textId="77777777" w:rsidR="001E6CAE" w:rsidRPr="00366F31" w:rsidRDefault="001E6CAE">
      <w:pPr>
        <w:ind w:left="681"/>
      </w:pPr>
    </w:p>
    <w:p w14:paraId="50CD8A11" w14:textId="77777777" w:rsidR="001E6CAE" w:rsidRPr="00366F31" w:rsidRDefault="001E6CAE" w:rsidP="00D83B70">
      <w:pPr>
        <w:numPr>
          <w:ilvl w:val="0"/>
          <w:numId w:val="13"/>
        </w:numPr>
        <w:ind w:left="1041"/>
      </w:pPr>
      <w:r w:rsidRPr="00366F31">
        <w:t>Bien qu'un traitement par Kenacort-A 10 mg/ml puisse améliorer les symptômes de l'inflammation, il ne s'agit en aucun cas d'une guérison et le corticoïde n'a aucun effet sur la cause de l'affection. Dès lors, ce mode de traitement n'élimine pas la nécessité d'utiliser les mesures conventionnelles habituelles.</w:t>
      </w:r>
    </w:p>
    <w:p w14:paraId="78369340" w14:textId="77777777" w:rsidR="001E6CAE" w:rsidRPr="00366F31" w:rsidRDefault="001E6CAE">
      <w:pPr>
        <w:ind w:left="681"/>
      </w:pPr>
    </w:p>
    <w:p w14:paraId="60BBFFB9" w14:textId="77777777" w:rsidR="001E6CAE" w:rsidRPr="00366F31" w:rsidRDefault="001E6CAE" w:rsidP="00D83B70">
      <w:pPr>
        <w:numPr>
          <w:ilvl w:val="0"/>
          <w:numId w:val="16"/>
        </w:numPr>
        <w:ind w:left="1041"/>
      </w:pPr>
      <w:r w:rsidRPr="00366F31">
        <w:t xml:space="preserve">Une augmentation de la douleur dans l'articulation se produit rarement. Une augmentation marquée de la douleur accompagnée de gonflement local, une diminution de la mobilité de l'articulation, de la fièvre et des malaises peuvent évoquer une </w:t>
      </w:r>
      <w:r w:rsidRPr="00366F31">
        <w:rPr>
          <w:u w:val="single"/>
        </w:rPr>
        <w:t>arthrite septique</w:t>
      </w:r>
      <w:r w:rsidRPr="00366F31">
        <w:t xml:space="preserve">. Si ces complications apparaissent et si le diagnostic d'arthrite septique est confirmé, il y a lieu d'arrêter l'administration du corticoïde et d'instaurer immédiatement un traitement antimicrobien qui sera prolongé 7 à 10 jours après la disparition des signes de l'infection. </w:t>
      </w:r>
      <w:r w:rsidRPr="00366F31">
        <w:br/>
        <w:t xml:space="preserve">Avant toute administration </w:t>
      </w:r>
      <w:r w:rsidR="00C2550B" w:rsidRPr="00366F31">
        <w:t>intra-articulaire</w:t>
      </w:r>
      <w:r w:rsidRPr="00366F31">
        <w:t>, un examen approprié du liquide présent dans l'articulation est nécessaire pour exclure un processus septique.</w:t>
      </w:r>
    </w:p>
    <w:p w14:paraId="274E579E" w14:textId="77777777" w:rsidR="001E6CAE" w:rsidRPr="00366F31" w:rsidRDefault="001E6CAE"/>
    <w:p w14:paraId="03840219" w14:textId="77777777" w:rsidR="001E6CAE" w:rsidRPr="00366F31" w:rsidRDefault="001E6CAE" w:rsidP="00D83B70">
      <w:pPr>
        <w:numPr>
          <w:ilvl w:val="0"/>
          <w:numId w:val="17"/>
        </w:numPr>
        <w:ind w:left="1041"/>
      </w:pPr>
      <w:r w:rsidRPr="00366F31">
        <w:t>Comme d'autres corticostéroïdes puissants, l'acétonide de triamcinolone sera utilisé sous contrôle médical strict.</w:t>
      </w:r>
    </w:p>
    <w:p w14:paraId="7A51274F" w14:textId="77777777" w:rsidR="001E6CAE" w:rsidRPr="00366F31" w:rsidRDefault="001E6CAE">
      <w:pPr>
        <w:jc w:val="both"/>
        <w:rPr>
          <w:rFonts w:ascii="Univers" w:hAnsi="Univers"/>
        </w:rPr>
      </w:pPr>
    </w:p>
    <w:p w14:paraId="165E04AD" w14:textId="072D7194" w:rsidR="001E6CAE" w:rsidRDefault="001E6CAE" w:rsidP="00D83B70">
      <w:pPr>
        <w:numPr>
          <w:ilvl w:val="0"/>
          <w:numId w:val="18"/>
        </w:numPr>
        <w:ind w:left="1041"/>
      </w:pPr>
      <w:r w:rsidRPr="00366F31">
        <w:t>Lorsque l'on se trouve en présence d'</w:t>
      </w:r>
      <w:r w:rsidRPr="00366F31">
        <w:rPr>
          <w:u w:val="single"/>
        </w:rPr>
        <w:t>infections</w:t>
      </w:r>
      <w:r w:rsidRPr="00366F31">
        <w:t xml:space="preserve"> locales ou systémiques, le traitement par </w:t>
      </w:r>
      <w:r w:rsidR="00841D61">
        <w:t>l’</w:t>
      </w:r>
      <w:r w:rsidRPr="00366F31">
        <w:t>acétonide de triamcinolone n'est pas recommandé, mais peut être utilisé avec précaution et seulement sous couvert d'un traitement antimicrobien approprié. L'acétonide de triamcinolone peut masquer les signes d'infection et favoriser la dissémination du microorganisme infectieux. Dès lors, tous les patients traités par l'acétonide de triamcinolone seront surveillés au point de vue infection intercurrente. Si une infection se produit, un traitement antimicrobien approprié et vigoureux sera instauré.</w:t>
      </w:r>
      <w:r w:rsidR="000D16CD" w:rsidRPr="00366F31">
        <w:t xml:space="preserve"> </w:t>
      </w:r>
      <w:r w:rsidRPr="00366F31">
        <w:t>Si possible on évitera l'arrêt brutal de l'administration des corticoïdes en raison du danger de superposition d'une insuffisance surrénalienne au processus infectieux.</w:t>
      </w:r>
    </w:p>
    <w:p w14:paraId="2FE627CE" w14:textId="77777777" w:rsidR="000D35C4" w:rsidRPr="00366F31" w:rsidRDefault="000D35C4" w:rsidP="000D35C4">
      <w:pPr>
        <w:ind w:left="1041"/>
      </w:pPr>
    </w:p>
    <w:p w14:paraId="2B91E433" w14:textId="77777777" w:rsidR="001E6CAE" w:rsidRPr="000D35C4" w:rsidRDefault="0022548B" w:rsidP="000D35C4">
      <w:pPr>
        <w:pStyle w:val="ListParagraph"/>
        <w:numPr>
          <w:ilvl w:val="0"/>
          <w:numId w:val="18"/>
        </w:numPr>
        <w:ind w:left="1041"/>
        <w:rPr>
          <w:u w:val="single"/>
        </w:rPr>
      </w:pPr>
      <w:r>
        <w:rPr>
          <w:u w:val="single"/>
        </w:rPr>
        <w:t>T</w:t>
      </w:r>
      <w:r w:rsidR="000D35C4" w:rsidRPr="000D35C4">
        <w:rPr>
          <w:u w:val="single"/>
        </w:rPr>
        <w:t>roubles visuels</w:t>
      </w:r>
    </w:p>
    <w:p w14:paraId="16EC549E" w14:textId="77777777" w:rsidR="00424762" w:rsidRDefault="00424762" w:rsidP="00A604E9">
      <w:pPr>
        <w:ind w:left="1041"/>
      </w:pPr>
      <w:r>
        <w:lastRenderedPageBreak/>
        <w:t>Des troubles visuels peuvent apparaitre lors d’une corticothérapie par voie systématique ou locale. En cas de vision floue ou d’apparition de tout autre symptôme visuel apparaissant au cours d’une corticothérapie, un examen ophtalmologique est requis à la recherche notamment d’une cataracte, d’un glaucome, ou d’une lésion plus rare telle qu´une chorioré</w:t>
      </w:r>
      <w:r w:rsidR="000B2C48">
        <w:t>tinopathie séreuse centrale, décrits avec l’administration de corticostéroïdes par voie systémique ou locale.</w:t>
      </w:r>
    </w:p>
    <w:p w14:paraId="0376EDF2" w14:textId="77777777" w:rsidR="00424762" w:rsidRDefault="00424762" w:rsidP="00424762">
      <w:pPr>
        <w:pStyle w:val="ListParagraph"/>
      </w:pPr>
    </w:p>
    <w:p w14:paraId="04930767" w14:textId="77777777" w:rsidR="001E6CAE" w:rsidRPr="00366F31" w:rsidRDefault="001E6CAE" w:rsidP="00D83B70">
      <w:pPr>
        <w:numPr>
          <w:ilvl w:val="0"/>
          <w:numId w:val="18"/>
        </w:numPr>
        <w:ind w:left="1041"/>
      </w:pPr>
      <w:r w:rsidRPr="00366F31">
        <w:t>L’utilisation prolongée de corticostéroïdes peut augmenter le risque d’infections oculaires secondaires provoquées par des champignons ou des virus.</w:t>
      </w:r>
    </w:p>
    <w:p w14:paraId="178FAD86" w14:textId="77777777" w:rsidR="001E6CAE" w:rsidRPr="00366F31" w:rsidRDefault="001E6CAE">
      <w:pPr>
        <w:ind w:left="681"/>
      </w:pPr>
    </w:p>
    <w:p w14:paraId="7E009C82" w14:textId="77777777" w:rsidR="001E6CAE" w:rsidRPr="00366F31" w:rsidRDefault="001E6CAE" w:rsidP="00D83B70">
      <w:pPr>
        <w:numPr>
          <w:ilvl w:val="0"/>
          <w:numId w:val="18"/>
        </w:numPr>
        <w:ind w:left="1041"/>
      </w:pPr>
      <w:r w:rsidRPr="00366F31">
        <w:t>Des irrégularités menstruelles peuvent se produire</w:t>
      </w:r>
      <w:r w:rsidR="007C7B13" w:rsidRPr="00366F31">
        <w:t xml:space="preserve"> et chez les femmes postménopausées des saignements vaginaux ont été observés. Cette possibilité devrait être mentionnée auprès des patientes, sans pour autant exclure un examen approprié.</w:t>
      </w:r>
    </w:p>
    <w:p w14:paraId="78811538" w14:textId="77777777" w:rsidR="001E6CAE" w:rsidRPr="00366F31" w:rsidRDefault="001E6CAE">
      <w:pPr>
        <w:ind w:left="681"/>
      </w:pPr>
    </w:p>
    <w:p w14:paraId="0B17F810" w14:textId="77777777" w:rsidR="001E6CAE" w:rsidRPr="00366F31" w:rsidRDefault="001E6CAE" w:rsidP="00D83B70">
      <w:pPr>
        <w:numPr>
          <w:ilvl w:val="0"/>
          <w:numId w:val="19"/>
        </w:numPr>
        <w:ind w:left="1041"/>
      </w:pPr>
      <w:r w:rsidRPr="00366F31">
        <w:t>Les glucocorticoïdes peuvent diminuer la capture et la fixation protéïque de l’iode, rendant ainsi difficile le contrôle de la réponse thérapeutique des patients thyroïdiens traités par l’iode.</w:t>
      </w:r>
    </w:p>
    <w:p w14:paraId="319434E3" w14:textId="77777777" w:rsidR="001E6CAE" w:rsidRPr="00366F31" w:rsidRDefault="001E6CAE">
      <w:pPr>
        <w:ind w:left="681"/>
      </w:pPr>
    </w:p>
    <w:p w14:paraId="1DBDAF59" w14:textId="77777777" w:rsidR="001E6CAE" w:rsidRPr="00366F31" w:rsidRDefault="001E6CAE" w:rsidP="00D83B70">
      <w:pPr>
        <w:numPr>
          <w:ilvl w:val="0"/>
          <w:numId w:val="19"/>
        </w:numPr>
        <w:ind w:left="1041"/>
      </w:pPr>
      <w:r w:rsidRPr="00366F31">
        <w:t>Les corticoïdes peuvent augmenter les taux sériques de LDL et de HDL, tandis que leur effet sur les VLDL peut être variable. Ces effets peuvent être importants en cas de greffe rénale, à cause du risque accru d’athérosclérose.</w:t>
      </w:r>
    </w:p>
    <w:p w14:paraId="10FCBCBB" w14:textId="77777777" w:rsidR="002D3EDE" w:rsidRPr="00366F31" w:rsidRDefault="002D3EDE" w:rsidP="002D3EDE"/>
    <w:p w14:paraId="4AE10BC7" w14:textId="77777777" w:rsidR="002D3EDE" w:rsidRPr="00366F31" w:rsidRDefault="00C81311" w:rsidP="005D4362">
      <w:pPr>
        <w:ind w:left="993" w:hanging="312"/>
      </w:pPr>
      <w:r w:rsidRPr="00366F31">
        <w:t>-</w:t>
      </w:r>
      <w:r w:rsidRPr="00366F31">
        <w:tab/>
      </w:r>
      <w:r w:rsidR="002D3EDE" w:rsidRPr="00366F31">
        <w:t>Kenacort-A 10 mg/ml ne doit pas être administré par voie intramusculaire, intraoculaire, épidurale ou intrathécale. De graves évènements médicaux ont été associés aux modes d'administration épidurale et intrathécal.</w:t>
      </w:r>
    </w:p>
    <w:p w14:paraId="368DB3D3" w14:textId="77777777" w:rsidR="00FF0F1D" w:rsidRPr="00366F31" w:rsidRDefault="00FF0F1D" w:rsidP="005D4362">
      <w:pPr>
        <w:ind w:left="993" w:hanging="312"/>
      </w:pPr>
    </w:p>
    <w:p w14:paraId="75387A05" w14:textId="77777777" w:rsidR="001E6CAE" w:rsidRPr="00366F31" w:rsidRDefault="004153E1" w:rsidP="005D4362">
      <w:pPr>
        <w:ind w:left="993" w:hanging="312"/>
      </w:pPr>
      <w:r w:rsidRPr="00366F31">
        <w:t xml:space="preserve">- </w:t>
      </w:r>
      <w:r w:rsidR="005D4362" w:rsidRPr="00366F31">
        <w:t xml:space="preserve">   </w:t>
      </w:r>
      <w:r w:rsidRPr="00366F31">
        <w:t>Des cas de réactions anaphylactiques et de chocs anaphylactiques graves ainsi que des cas de décès ont été rapportés chez des personnes recevant des injections d'acétonide de triamcinolone, quel que soit le mode d'administration.</w:t>
      </w:r>
    </w:p>
    <w:p w14:paraId="12ADFFE4" w14:textId="77777777" w:rsidR="005D4362" w:rsidRPr="00366F31" w:rsidRDefault="005D4362" w:rsidP="005D4362">
      <w:pPr>
        <w:ind w:left="993" w:hanging="312"/>
      </w:pPr>
    </w:p>
    <w:p w14:paraId="383E7ADC" w14:textId="77777777" w:rsidR="005D4362" w:rsidRPr="00366F31" w:rsidRDefault="005D4362" w:rsidP="005D4362">
      <w:pPr>
        <w:ind w:firstLine="227"/>
        <w:rPr>
          <w:noProof/>
          <w:szCs w:val="22"/>
          <w:u w:val="single"/>
        </w:rPr>
      </w:pPr>
      <w:r w:rsidRPr="00366F31">
        <w:rPr>
          <w:noProof/>
          <w:szCs w:val="22"/>
          <w:u w:val="single"/>
        </w:rPr>
        <w:t>Population pédiatrique</w:t>
      </w:r>
    </w:p>
    <w:p w14:paraId="4FFC2A21" w14:textId="77777777" w:rsidR="005D4362" w:rsidRPr="00366F31" w:rsidRDefault="005D4362" w:rsidP="005D4362">
      <w:pPr>
        <w:ind w:firstLine="227"/>
        <w:rPr>
          <w:noProof/>
          <w:szCs w:val="22"/>
          <w:u w:val="single"/>
        </w:rPr>
      </w:pPr>
    </w:p>
    <w:p w14:paraId="17E91686" w14:textId="77777777" w:rsidR="00E248B5" w:rsidRPr="00E248B5" w:rsidRDefault="005D4362" w:rsidP="005D4362">
      <w:pPr>
        <w:numPr>
          <w:ilvl w:val="0"/>
          <w:numId w:val="12"/>
        </w:numPr>
        <w:ind w:left="1041"/>
        <w:rPr>
          <w:lang w:val="fr-BE"/>
        </w:rPr>
      </w:pPr>
      <w:r w:rsidRPr="00366F31">
        <w:t xml:space="preserve">Le développement et la croissance des enfants sous traitement prolongé par des corticostéroïdes seront observés avec soin. </w:t>
      </w:r>
      <w:r w:rsidR="00F16DD9" w:rsidRPr="00366F31">
        <w:t xml:space="preserve">Pour cette raison, ce médicament n’est pas recommandé pour les enfants de moins de </w:t>
      </w:r>
      <w:r w:rsidR="00945DF1" w:rsidRPr="00366F31">
        <w:t>6</w:t>
      </w:r>
      <w:r w:rsidR="00F16DD9" w:rsidRPr="00366F31">
        <w:t xml:space="preserve"> ans.</w:t>
      </w:r>
    </w:p>
    <w:p w14:paraId="6411C0AF" w14:textId="77777777" w:rsidR="003B762C" w:rsidRPr="003B762C" w:rsidRDefault="00E248B5" w:rsidP="00320A10">
      <w:pPr>
        <w:pStyle w:val="ListParagraph"/>
        <w:numPr>
          <w:ilvl w:val="0"/>
          <w:numId w:val="12"/>
        </w:numPr>
        <w:ind w:left="1041"/>
        <w:rPr>
          <w:lang w:val="x-none"/>
        </w:rPr>
      </w:pPr>
      <w:r w:rsidRPr="003B762C">
        <w:rPr>
          <w:lang w:val="fr-BE"/>
        </w:rPr>
        <w:t xml:space="preserve">Kenacort-A 10 mg/ml contient de l’alcool benzylique.  </w:t>
      </w:r>
      <w:r w:rsidR="003B762C" w:rsidRPr="003B762C">
        <w:rPr>
          <w:lang w:val="x-none"/>
        </w:rPr>
        <w:t>L’alcool benzylique est associé à un risque d’effets</w:t>
      </w:r>
      <w:r w:rsidR="003B762C" w:rsidRPr="003B762C">
        <w:rPr>
          <w:lang w:val="fr-BE"/>
        </w:rPr>
        <w:t xml:space="preserve"> </w:t>
      </w:r>
      <w:r w:rsidR="003B762C" w:rsidRPr="003B762C">
        <w:rPr>
          <w:lang w:val="x-none"/>
        </w:rPr>
        <w:t>secondaires graves y compris des problèmes</w:t>
      </w:r>
    </w:p>
    <w:p w14:paraId="1819E7A6" w14:textId="77777777" w:rsidR="00E248B5" w:rsidRPr="003B762C" w:rsidRDefault="003B762C" w:rsidP="003B762C">
      <w:pPr>
        <w:pStyle w:val="ListParagraph"/>
        <w:ind w:left="1041"/>
        <w:rPr>
          <w:lang w:val="fr-BE"/>
        </w:rPr>
      </w:pPr>
      <w:r w:rsidRPr="003B762C">
        <w:rPr>
          <w:lang w:val="x-none"/>
        </w:rPr>
        <w:t>respiratoires (appelés « syndrome de suffocation »)</w:t>
      </w:r>
      <w:r w:rsidRPr="003B762C">
        <w:rPr>
          <w:lang w:val="fr-BE"/>
        </w:rPr>
        <w:t xml:space="preserve"> </w:t>
      </w:r>
      <w:r w:rsidRPr="003B762C">
        <w:rPr>
          <w:lang w:val="x-none"/>
        </w:rPr>
        <w:t>chez les jeunes enfants.</w:t>
      </w:r>
      <w:r w:rsidRPr="003B762C">
        <w:rPr>
          <w:lang w:val="fr-BE"/>
        </w:rPr>
        <w:t xml:space="preserve"> </w:t>
      </w:r>
      <w:r w:rsidRPr="003B762C">
        <w:rPr>
          <w:lang w:val="x-none"/>
        </w:rPr>
        <w:t>Ne pas utiliser chez le nouveau-né (jusqu’à 4</w:t>
      </w:r>
      <w:r w:rsidRPr="003B762C">
        <w:rPr>
          <w:lang w:val="fr-BE"/>
        </w:rPr>
        <w:t xml:space="preserve"> </w:t>
      </w:r>
      <w:r w:rsidRPr="003B762C">
        <w:rPr>
          <w:lang w:val="x-none"/>
        </w:rPr>
        <w:t>semaines)</w:t>
      </w:r>
      <w:r w:rsidRPr="003B762C">
        <w:rPr>
          <w:lang w:val="fr-BE"/>
        </w:rPr>
        <w:t xml:space="preserve">. </w:t>
      </w:r>
      <w:r w:rsidRPr="003B762C">
        <w:rPr>
          <w:lang w:val="x-none"/>
        </w:rPr>
        <w:t>Ne pas utiliser pendant plus d’une semaine chez les</w:t>
      </w:r>
      <w:r>
        <w:rPr>
          <w:lang w:val="fr-BE"/>
        </w:rPr>
        <w:t xml:space="preserve"> </w:t>
      </w:r>
      <w:r w:rsidRPr="003B762C">
        <w:rPr>
          <w:lang w:val="x-none"/>
        </w:rPr>
        <w:t>jeunes enfants (moins de 3 ans)</w:t>
      </w:r>
      <w:r>
        <w:rPr>
          <w:lang w:val="fr-BE"/>
        </w:rPr>
        <w:t>.</w:t>
      </w:r>
    </w:p>
    <w:p w14:paraId="34D87843" w14:textId="77777777" w:rsidR="003B762C" w:rsidRDefault="003B762C" w:rsidP="00977C12">
      <w:pPr>
        <w:ind w:left="227"/>
        <w:rPr>
          <w:bCs/>
          <w:szCs w:val="24"/>
        </w:rPr>
      </w:pPr>
    </w:p>
    <w:p w14:paraId="6F8A7B94" w14:textId="77777777" w:rsidR="004153E1" w:rsidRPr="00977C12" w:rsidRDefault="00977C12" w:rsidP="00977C12">
      <w:pPr>
        <w:ind w:left="227"/>
        <w:rPr>
          <w:bCs/>
          <w:szCs w:val="24"/>
        </w:rPr>
      </w:pPr>
      <w:r w:rsidRPr="008853EE">
        <w:rPr>
          <w:bCs/>
          <w:szCs w:val="24"/>
        </w:rPr>
        <w:t xml:space="preserve">Kenacort-A 10 mg/ml contient </w:t>
      </w:r>
      <w:r w:rsidRPr="00977C12">
        <w:rPr>
          <w:bCs/>
          <w:szCs w:val="24"/>
        </w:rPr>
        <w:t>moins de 1 mmol de sodium (23 mg) par flacon de 5 ml, c'est-à-dire pour dire essentiellement « sans sodium</w:t>
      </w:r>
      <w:r>
        <w:rPr>
          <w:bCs/>
          <w:szCs w:val="24"/>
        </w:rPr>
        <w:t xml:space="preserve"> </w:t>
      </w:r>
      <w:r w:rsidRPr="00977C12">
        <w:rPr>
          <w:bCs/>
          <w:szCs w:val="24"/>
        </w:rPr>
        <w:t>».</w:t>
      </w:r>
    </w:p>
    <w:p w14:paraId="2EB3C36B" w14:textId="77777777" w:rsidR="00977C12" w:rsidRPr="00366F31" w:rsidRDefault="00977C12" w:rsidP="00977C12">
      <w:pPr>
        <w:ind w:left="227"/>
      </w:pPr>
    </w:p>
    <w:p w14:paraId="415CB404" w14:textId="77777777" w:rsidR="001E6CAE" w:rsidRPr="00431949" w:rsidRDefault="001E6CAE">
      <w:pPr>
        <w:pStyle w:val="Heading3"/>
        <w:ind w:left="227" w:firstLine="11"/>
        <w:rPr>
          <w:b/>
          <w:bCs/>
          <w:u w:val="none"/>
          <w:lang w:val="fr-BE"/>
        </w:rPr>
      </w:pPr>
      <w:r w:rsidRPr="00431949">
        <w:rPr>
          <w:b/>
          <w:bCs/>
          <w:u w:val="none"/>
          <w:lang w:val="fr-BE"/>
        </w:rPr>
        <w:t>4.5</w:t>
      </w:r>
      <w:r w:rsidRPr="00431949">
        <w:rPr>
          <w:b/>
          <w:bCs/>
          <w:u w:val="none"/>
          <w:lang w:val="fr-BE"/>
        </w:rPr>
        <w:tab/>
        <w:t>Interaction avec d’autres médicaments et autres formes d’interactions</w:t>
      </w:r>
    </w:p>
    <w:p w14:paraId="1C72D69F" w14:textId="77777777" w:rsidR="001E6CAE" w:rsidRDefault="001E6CAE">
      <w:pPr>
        <w:ind w:left="681"/>
      </w:pPr>
    </w:p>
    <w:p w14:paraId="7CA04B14" w14:textId="77777777" w:rsidR="00AD08FE" w:rsidRPr="00431949" w:rsidRDefault="00AD08FE" w:rsidP="009E0639">
      <w:pPr>
        <w:ind w:firstLine="227"/>
        <w:rPr>
          <w:bCs/>
          <w:u w:val="single"/>
        </w:rPr>
      </w:pPr>
      <w:r w:rsidRPr="00431949">
        <w:rPr>
          <w:bCs/>
          <w:u w:val="single"/>
        </w:rPr>
        <w:t>Effet d’autres médicaments sur l’acétonide de triamcinolone :</w:t>
      </w:r>
    </w:p>
    <w:p w14:paraId="2C6D3CBF" w14:textId="77777777" w:rsidR="00AD08FE" w:rsidRDefault="00AD08FE" w:rsidP="00AD08FE"/>
    <w:p w14:paraId="75C0363D" w14:textId="77777777" w:rsidR="00AD08FE" w:rsidRDefault="00AD08FE" w:rsidP="00AD08FE">
      <w:pPr>
        <w:pStyle w:val="ListParagraph"/>
        <w:numPr>
          <w:ilvl w:val="0"/>
          <w:numId w:val="22"/>
        </w:numPr>
      </w:pPr>
      <w:r w:rsidRPr="00AE0E0A">
        <w:rPr>
          <w:b/>
          <w:i/>
        </w:rPr>
        <w:lastRenderedPageBreak/>
        <w:t>Inhibiteurs du CYP3A4</w:t>
      </w:r>
      <w:r>
        <w:t xml:space="preserve"> : </w:t>
      </w:r>
      <w:r w:rsidRPr="004918C8">
        <w:t>L'acétonide de triamcinolone est un substrat de CYP3A4.</w:t>
      </w:r>
      <w:r>
        <w:t xml:space="preserve"> </w:t>
      </w:r>
      <w:r w:rsidRPr="00D948F0">
        <w:t xml:space="preserve">L’administration concomitante </w:t>
      </w:r>
      <w:r>
        <w:t>de Kenacort A</w:t>
      </w:r>
      <w:r w:rsidR="00682129">
        <w:t xml:space="preserve"> </w:t>
      </w:r>
      <w:r>
        <w:t xml:space="preserve">10 </w:t>
      </w:r>
      <w:r w:rsidR="00682129">
        <w:t xml:space="preserve">mg/ml </w:t>
      </w:r>
      <w:r>
        <w:t>avec de</w:t>
      </w:r>
      <w:r w:rsidR="00E96110">
        <w:t xml:space="preserve"> </w:t>
      </w:r>
      <w:r>
        <w:t xml:space="preserve">puissants inhibiteurs du CYP3A4 (comme </w:t>
      </w:r>
      <w:r w:rsidRPr="007C22DB">
        <w:t xml:space="preserve">la clarithromycine, </w:t>
      </w:r>
      <w:r>
        <w:t xml:space="preserve">la </w:t>
      </w:r>
      <w:r w:rsidRPr="007D615E">
        <w:t>télithromycine</w:t>
      </w:r>
      <w:r>
        <w:t>,</w:t>
      </w:r>
      <w:r w:rsidRPr="007D615E">
        <w:t xml:space="preserve"> </w:t>
      </w:r>
      <w:r>
        <w:t xml:space="preserve">le kétoconazole, l’itraconazole, et les inhibiteurs de la </w:t>
      </w:r>
      <w:r w:rsidRPr="007D615E">
        <w:t xml:space="preserve">protéase </w:t>
      </w:r>
      <w:r>
        <w:t xml:space="preserve">du VIH tels que le ritonavir) doit s’effectuer avec prudence, parce qu’elle peut produire une augmentation des effets systémiques indésirables liés aux corticostéroïdes </w:t>
      </w:r>
      <w:r w:rsidRPr="00A607E4">
        <w:t>(voir rubrique 4.8)</w:t>
      </w:r>
      <w:r>
        <w:t>. L</w:t>
      </w:r>
      <w:r w:rsidRPr="00755209">
        <w:t>ors de l'utilisation post-commercialisation</w:t>
      </w:r>
      <w:r>
        <w:t>, des</w:t>
      </w:r>
      <w:r w:rsidRPr="00755209">
        <w:t xml:space="preserve"> </w:t>
      </w:r>
      <w:r>
        <w:t xml:space="preserve">interactions </w:t>
      </w:r>
      <w:r w:rsidRPr="00A607E4">
        <w:t xml:space="preserve">médicamenteuses </w:t>
      </w:r>
      <w:r>
        <w:t>cliniquement significatives ont été rapportées chez des patients ayant reçu de l’</w:t>
      </w:r>
      <w:r w:rsidRPr="00366F31">
        <w:t>acétonide de triamcinolone</w:t>
      </w:r>
      <w:r>
        <w:t xml:space="preserve"> et du ritonavir, </w:t>
      </w:r>
      <w:r w:rsidRPr="00755209">
        <w:t xml:space="preserve">entraînant </w:t>
      </w:r>
      <w:r>
        <w:t>des effets systémiques liés aux corticostéroïdes, y compris le syndrome de Cushing et une suppression surrénale</w:t>
      </w:r>
      <w:r w:rsidR="00E96110">
        <w:t xml:space="preserve"> </w:t>
      </w:r>
      <w:r>
        <w:t>(voir rubrique 4.4)</w:t>
      </w:r>
      <w:r w:rsidR="00E96110">
        <w:t>.</w:t>
      </w:r>
    </w:p>
    <w:p w14:paraId="69EDAD9B" w14:textId="77777777" w:rsidR="00081C2E" w:rsidRPr="00366F31" w:rsidRDefault="00081C2E" w:rsidP="00081C2E">
      <w:pPr>
        <w:tabs>
          <w:tab w:val="left" w:pos="-1094"/>
          <w:tab w:val="left" w:pos="-720"/>
          <w:tab w:val="left" w:pos="0"/>
          <w:tab w:val="left" w:pos="720"/>
          <w:tab w:val="left" w:pos="1440"/>
          <w:tab w:val="left" w:pos="2160"/>
          <w:tab w:val="left" w:pos="2880"/>
          <w:tab w:val="left" w:pos="3600"/>
          <w:tab w:val="left" w:pos="4228"/>
          <w:tab w:val="left" w:pos="5040"/>
        </w:tabs>
        <w:ind w:left="681"/>
      </w:pPr>
    </w:p>
    <w:p w14:paraId="5E29FF6E" w14:textId="160C0D3A" w:rsidR="00081C2E" w:rsidRPr="00366F31" w:rsidRDefault="003A58EA" w:rsidP="00E96110">
      <w:pPr>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Œstrogènes</w:t>
      </w:r>
      <w:r w:rsidR="00081C2E" w:rsidRPr="00366F31">
        <w:rPr>
          <w:b/>
          <w:i/>
        </w:rPr>
        <w:t>, y compris les contraceptifs oraux</w:t>
      </w:r>
      <w:r w:rsidR="00081C2E" w:rsidRPr="00366F31">
        <w:t xml:space="preserve"> : possibilité d’augmentation de la demi-vie et de la concentration des corticostéroïdes, ainsi que de diminution de leur clairance.</w:t>
      </w:r>
    </w:p>
    <w:p w14:paraId="0C38FCED" w14:textId="77777777" w:rsidR="00081C2E" w:rsidRDefault="00081C2E">
      <w:pPr>
        <w:ind w:left="681"/>
      </w:pPr>
    </w:p>
    <w:p w14:paraId="014BBB09" w14:textId="77777777" w:rsidR="00081C2E" w:rsidRPr="00366F31" w:rsidRDefault="00081C2E" w:rsidP="00E96110">
      <w:pPr>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 xml:space="preserve">Inducteurs de l’enzyme hépatique </w:t>
      </w:r>
      <w:r w:rsidRPr="00366F31">
        <w:rPr>
          <w:i/>
        </w:rPr>
        <w:t xml:space="preserve">(p.ex. barbituriques, phénytoïne, carbamazépine, rifampicine) : </w:t>
      </w:r>
      <w:r w:rsidRPr="00366F31">
        <w:t>possibilité d’augmentation de la clairance métabolique du Kenacort-A 10 mg/ml. Une observation attentive du patient est nécessaire pour détecter une diminution possible des effets des stéroïdes et adapter la posologie du Kenacort-A 10 mg/ml en conséquence.</w:t>
      </w:r>
    </w:p>
    <w:p w14:paraId="5152FED1" w14:textId="77777777" w:rsidR="00081C2E" w:rsidRDefault="00081C2E">
      <w:pPr>
        <w:ind w:left="681"/>
      </w:pPr>
    </w:p>
    <w:p w14:paraId="78067AC1" w14:textId="77777777" w:rsidR="00F155D2" w:rsidRDefault="00F155D2" w:rsidP="00E96110">
      <w:pPr>
        <w:numPr>
          <w:ilvl w:val="0"/>
          <w:numId w:val="23"/>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Médicaments thyroïdiens</w:t>
      </w:r>
      <w:r w:rsidRPr="00366F31">
        <w:t xml:space="preserve"> : la clairance métabolique des adrénocorticoïdes diminue en cas d’hypothyroïdie et augmente en cas d’hyperthyroïdie. Les modifications de l’état thyroïdien peuvent requérir un ajustement des doses d’adrénocorticoïdes.</w:t>
      </w:r>
    </w:p>
    <w:p w14:paraId="2BA039D2" w14:textId="77777777" w:rsidR="00920638" w:rsidRDefault="00920638" w:rsidP="00920638">
      <w:pPr>
        <w:tabs>
          <w:tab w:val="left" w:pos="-1094"/>
          <w:tab w:val="left" w:pos="-720"/>
          <w:tab w:val="left" w:pos="0"/>
          <w:tab w:val="left" w:pos="720"/>
          <w:tab w:val="left" w:pos="1440"/>
          <w:tab w:val="left" w:pos="2160"/>
          <w:tab w:val="left" w:pos="2880"/>
          <w:tab w:val="left" w:pos="3600"/>
          <w:tab w:val="left" w:pos="4228"/>
          <w:tab w:val="left" w:pos="5040"/>
        </w:tabs>
        <w:ind w:left="1041"/>
      </w:pPr>
    </w:p>
    <w:p w14:paraId="3CD702EF" w14:textId="77777777" w:rsidR="00920638" w:rsidRDefault="00920638" w:rsidP="00E96110">
      <w:pPr>
        <w:pStyle w:val="ListParagraph"/>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593CCF">
        <w:rPr>
          <w:b/>
          <w:i/>
          <w:iCs/>
        </w:rPr>
        <w:t>Méthotrexate</w:t>
      </w:r>
      <w:r>
        <w:t> :</w:t>
      </w:r>
      <w:r w:rsidRPr="00366F31">
        <w:t xml:space="preserve"> Au travers de l’effet synergique du méthotrexate, une dose réduite de corticostéroïde peut suffir</w:t>
      </w:r>
      <w:r w:rsidR="00E96110">
        <w:t>e</w:t>
      </w:r>
      <w:r w:rsidRPr="00366F31">
        <w:t>.</w:t>
      </w:r>
    </w:p>
    <w:p w14:paraId="1F9855E8" w14:textId="77777777" w:rsidR="00056D31" w:rsidRPr="00920638" w:rsidRDefault="00056D31" w:rsidP="00056D31">
      <w:pPr>
        <w:pStyle w:val="ListParagraph"/>
        <w:tabs>
          <w:tab w:val="left" w:pos="-1094"/>
          <w:tab w:val="left" w:pos="-720"/>
          <w:tab w:val="left" w:pos="0"/>
          <w:tab w:val="left" w:pos="720"/>
          <w:tab w:val="left" w:pos="1440"/>
          <w:tab w:val="left" w:pos="2160"/>
          <w:tab w:val="left" w:pos="2880"/>
          <w:tab w:val="left" w:pos="3600"/>
          <w:tab w:val="left" w:pos="4228"/>
          <w:tab w:val="left" w:pos="5040"/>
        </w:tabs>
        <w:ind w:left="1041"/>
      </w:pPr>
    </w:p>
    <w:p w14:paraId="322458E8" w14:textId="77777777" w:rsidR="00920638" w:rsidRPr="00920638" w:rsidRDefault="00920638" w:rsidP="00920638">
      <w:pPr>
        <w:tabs>
          <w:tab w:val="left" w:pos="-1094"/>
          <w:tab w:val="left" w:pos="-720"/>
          <w:tab w:val="left" w:pos="0"/>
          <w:tab w:val="left" w:pos="720"/>
          <w:tab w:val="left" w:pos="1440"/>
          <w:tab w:val="left" w:pos="2160"/>
          <w:tab w:val="left" w:pos="2880"/>
          <w:tab w:val="left" w:pos="3600"/>
          <w:tab w:val="left" w:pos="4228"/>
          <w:tab w:val="left" w:pos="5040"/>
        </w:tabs>
      </w:pPr>
    </w:p>
    <w:p w14:paraId="37739BE4" w14:textId="77777777" w:rsidR="00AD08FE" w:rsidRPr="00431949" w:rsidRDefault="00AD08FE" w:rsidP="009E0639">
      <w:pPr>
        <w:ind w:firstLine="227"/>
        <w:rPr>
          <w:bCs/>
          <w:u w:val="single"/>
        </w:rPr>
      </w:pPr>
      <w:r w:rsidRPr="00431949">
        <w:rPr>
          <w:bCs/>
          <w:u w:val="single"/>
        </w:rPr>
        <w:t>Effet de l’acétonide de triamcinolone sur d’autres médicaments :</w:t>
      </w:r>
    </w:p>
    <w:p w14:paraId="69304AF9" w14:textId="77777777" w:rsidR="00920638" w:rsidRPr="00574582" w:rsidRDefault="00920638" w:rsidP="00920638">
      <w:pPr>
        <w:tabs>
          <w:tab w:val="left" w:pos="-1094"/>
          <w:tab w:val="left" w:pos="-720"/>
          <w:tab w:val="left" w:pos="0"/>
          <w:tab w:val="left" w:pos="720"/>
          <w:tab w:val="left" w:pos="1440"/>
          <w:tab w:val="left" w:pos="2160"/>
          <w:tab w:val="left" w:pos="2880"/>
          <w:tab w:val="left" w:pos="3600"/>
          <w:tab w:val="left" w:pos="4228"/>
          <w:tab w:val="left" w:pos="5040"/>
        </w:tabs>
        <w:rPr>
          <w:lang w:val="fr-BE"/>
        </w:rPr>
      </w:pPr>
    </w:p>
    <w:p w14:paraId="7CB927CB" w14:textId="77777777" w:rsidR="00920638" w:rsidRDefault="00920638" w:rsidP="00E96110">
      <w:pPr>
        <w:numPr>
          <w:ilvl w:val="0"/>
          <w:numId w:val="22"/>
        </w:numPr>
      </w:pPr>
      <w:r w:rsidRPr="00366F31">
        <w:rPr>
          <w:b/>
          <w:i/>
        </w:rPr>
        <w:t>Ciclosporine</w:t>
      </w:r>
      <w:r w:rsidRPr="00366F31">
        <w:t xml:space="preserve"> : surveillance nécessaire afin de détecter une augmentation de la toxicité de la ciclosporine lors d’un usage simultané des deux.</w:t>
      </w:r>
    </w:p>
    <w:p w14:paraId="663881D1" w14:textId="77777777" w:rsidR="00056D31" w:rsidRPr="00366F31" w:rsidRDefault="00056D31" w:rsidP="00E96110">
      <w:pPr>
        <w:ind w:left="360"/>
      </w:pPr>
      <w:r w:rsidRPr="00366F31">
        <w:t>Lors de l’administration simultanée du sel dipotassique du 21-phosphate d’acétonide de triamcinolone et de c</w:t>
      </w:r>
      <w:r w:rsidR="00E96110">
        <w:t>i</w:t>
      </w:r>
      <w:r w:rsidRPr="00366F31">
        <w:t>closporine, le métabolisme de chacun des principes actifs est inhibé. C’est pourquoi les effets secondaires de chaque substance peuvent être renforcés. Des convulsions ont été observées.</w:t>
      </w:r>
    </w:p>
    <w:p w14:paraId="20D91E7F" w14:textId="77777777" w:rsidR="00920638" w:rsidRPr="00920638" w:rsidRDefault="00920638" w:rsidP="00920638">
      <w:pPr>
        <w:tabs>
          <w:tab w:val="left" w:pos="-1094"/>
          <w:tab w:val="left" w:pos="-720"/>
          <w:tab w:val="left" w:pos="0"/>
          <w:tab w:val="left" w:pos="720"/>
          <w:tab w:val="left" w:pos="1440"/>
          <w:tab w:val="left" w:pos="2160"/>
          <w:tab w:val="left" w:pos="2880"/>
          <w:tab w:val="left" w:pos="3600"/>
          <w:tab w:val="left" w:pos="4228"/>
          <w:tab w:val="left" w:pos="5040"/>
        </w:tabs>
      </w:pPr>
    </w:p>
    <w:p w14:paraId="4473B35F" w14:textId="77777777" w:rsidR="00056D31" w:rsidRPr="00AD08FE" w:rsidRDefault="00056D31" w:rsidP="00E96110">
      <w:pPr>
        <w:numPr>
          <w:ilvl w:val="0"/>
          <w:numId w:val="23"/>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Vaccins</w:t>
      </w:r>
      <w:r w:rsidRPr="00366F31">
        <w:t xml:space="preserve"> : les complications neurologiques et l’absence de production d’anticorps peuvent survenir lors d’une vaccination de patients sous corticoïdes (voir avertissements/</w:t>
      </w:r>
      <w:r w:rsidRPr="00AD08FE">
        <w:t>précautions)</w:t>
      </w:r>
      <w:r w:rsidR="00431949">
        <w:t xml:space="preserve">, </w:t>
      </w:r>
      <w:r w:rsidR="00AD08FE" w:rsidRPr="00AD08FE">
        <w:t>(voir rubrique 4.3 et 4.4).</w:t>
      </w:r>
    </w:p>
    <w:p w14:paraId="25B5170F" w14:textId="77777777" w:rsidR="00081C2E" w:rsidRPr="00AD08FE" w:rsidRDefault="00081C2E" w:rsidP="00056D31"/>
    <w:p w14:paraId="2F42623B" w14:textId="77777777" w:rsidR="001E6CAE" w:rsidRPr="00366F31" w:rsidRDefault="001E6CAE" w:rsidP="00E96110">
      <w:pPr>
        <w:numPr>
          <w:ilvl w:val="0"/>
          <w:numId w:val="20"/>
        </w:numPr>
      </w:pPr>
      <w:r w:rsidRPr="00AD08FE">
        <w:rPr>
          <w:b/>
          <w:i/>
        </w:rPr>
        <w:t>Amphotéricine B injectable</w:t>
      </w:r>
      <w:r w:rsidRPr="00AD08FE">
        <w:t xml:space="preserve"> et </w:t>
      </w:r>
      <w:r w:rsidRPr="00AD08FE">
        <w:rPr>
          <w:b/>
          <w:i/>
        </w:rPr>
        <w:t>agents provoquant une déplétion potassique</w:t>
      </w:r>
      <w:r w:rsidRPr="00AD08FE">
        <w:t xml:space="preserve"> (tels que les thiazides ou le furosémide): il faut surveiller l’apparition d’une hypokaliémie</w:t>
      </w:r>
      <w:r w:rsidR="00AD08FE" w:rsidRPr="00AD08FE">
        <w:t xml:space="preserve"> (voir</w:t>
      </w:r>
      <w:r w:rsidR="00AD08FE">
        <w:t xml:space="preserve"> rubrique 4.4).</w:t>
      </w:r>
    </w:p>
    <w:p w14:paraId="20BF4BB9" w14:textId="77777777" w:rsidR="001E6CAE" w:rsidRPr="00366F31" w:rsidRDefault="001E6CAE">
      <w:pPr>
        <w:tabs>
          <w:tab w:val="left" w:pos="-1094"/>
          <w:tab w:val="left" w:pos="-720"/>
          <w:tab w:val="left" w:pos="0"/>
          <w:tab w:val="left" w:pos="720"/>
          <w:tab w:val="left" w:pos="1440"/>
          <w:tab w:val="left" w:pos="2160"/>
          <w:tab w:val="left" w:pos="2880"/>
          <w:tab w:val="left" w:pos="3600"/>
          <w:tab w:val="left" w:pos="4228"/>
          <w:tab w:val="left" w:pos="5040"/>
        </w:tabs>
        <w:ind w:left="681"/>
      </w:pPr>
    </w:p>
    <w:p w14:paraId="65C8CD53" w14:textId="77777777" w:rsidR="00682129" w:rsidRDefault="00682129" w:rsidP="00E96110">
      <w:pPr>
        <w:numPr>
          <w:ilvl w:val="0"/>
          <w:numId w:val="24"/>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Antimuscariniques</w:t>
      </w:r>
      <w:r w:rsidRPr="00366F31">
        <w:t xml:space="preserve"> leur effet dans la myasthénie grave peut être diminué</w:t>
      </w:r>
    </w:p>
    <w:p w14:paraId="6379D02D" w14:textId="77777777" w:rsidR="00682129" w:rsidRDefault="00682129" w:rsidP="00682129">
      <w:pPr>
        <w:pStyle w:val="ListParagraph"/>
        <w:ind w:left="1041"/>
      </w:pPr>
    </w:p>
    <w:p w14:paraId="5334452F" w14:textId="77777777" w:rsidR="00682129" w:rsidRDefault="00682129" w:rsidP="008F0D76">
      <w:pPr>
        <w:pStyle w:val="ListParagraph"/>
        <w:numPr>
          <w:ilvl w:val="0"/>
          <w:numId w:val="24"/>
        </w:numPr>
      </w:pPr>
      <w:r w:rsidRPr="00593CCF">
        <w:rPr>
          <w:b/>
          <w:i/>
          <w:iCs/>
        </w:rPr>
        <w:t>Anticholinestérase</w:t>
      </w:r>
      <w:r w:rsidRPr="00682129">
        <w:rPr>
          <w:b/>
        </w:rPr>
        <w:t>s</w:t>
      </w:r>
      <w:r>
        <w:t xml:space="preserve"> a</w:t>
      </w:r>
      <w:r w:rsidRPr="00366F31">
        <w:t>ntagonisation possible des effets de l’anticholinestérase</w:t>
      </w:r>
      <w:r>
        <w:t xml:space="preserve"> (voir rubrique 4.4)</w:t>
      </w:r>
    </w:p>
    <w:p w14:paraId="174EF910" w14:textId="77777777" w:rsidR="001E6CAE" w:rsidRPr="00366F31" w:rsidRDefault="001E6CAE">
      <w:pPr>
        <w:ind w:left="681"/>
      </w:pPr>
    </w:p>
    <w:p w14:paraId="4BB59E3F" w14:textId="77777777" w:rsidR="001E6CAE" w:rsidRPr="00366F31" w:rsidRDefault="001E6CAE" w:rsidP="008F0D76">
      <w:pPr>
        <w:numPr>
          <w:ilvl w:val="0"/>
          <w:numId w:val="21"/>
        </w:numPr>
      </w:pPr>
      <w:r w:rsidRPr="00366F31">
        <w:rPr>
          <w:b/>
          <w:i/>
        </w:rPr>
        <w:lastRenderedPageBreak/>
        <w:t>Anticoagulants oraux</w:t>
      </w:r>
      <w:r w:rsidRPr="00366F31">
        <w:t xml:space="preserve"> : les corticostéroïdes peuvent renforcer ou atténuer l’action des anticoagulants. Les patients recevant des anticoagulants oraux et des corticostéroïdes nécessitent dès lors une surveillance attentive.</w:t>
      </w:r>
    </w:p>
    <w:p w14:paraId="1184C303" w14:textId="77777777" w:rsidR="001E6CAE" w:rsidRPr="00366F31" w:rsidRDefault="001E6CAE" w:rsidP="008F0D76">
      <w:pPr>
        <w:pStyle w:val="Header"/>
        <w:tabs>
          <w:tab w:val="clear" w:pos="9072"/>
        </w:tabs>
        <w:ind w:left="454"/>
      </w:pPr>
    </w:p>
    <w:p w14:paraId="2D3A01B0" w14:textId="77777777" w:rsidR="001E6CAE" w:rsidRPr="00366F31" w:rsidRDefault="001E6CAE" w:rsidP="008F0D76">
      <w:pPr>
        <w:numPr>
          <w:ilvl w:val="0"/>
          <w:numId w:val="22"/>
        </w:numPr>
      </w:pPr>
      <w:r w:rsidRPr="00366F31">
        <w:rPr>
          <w:b/>
          <w:i/>
        </w:rPr>
        <w:t>Antidiabétiques</w:t>
      </w:r>
      <w:r w:rsidRPr="00366F31">
        <w:t xml:space="preserve"> : les corticoïdes peuvent augmenter la glycémie; les résultats des tests sanguins ou urinaires doivent donc être contrôlés chez le patient diabétique, surtout lors de l’instauration du traitement par corticostéroïdes, son interruption ou un changement de posologie.</w:t>
      </w:r>
    </w:p>
    <w:p w14:paraId="255F8E3D" w14:textId="77777777" w:rsidR="00681486" w:rsidRPr="00366F31" w:rsidRDefault="00681486" w:rsidP="008F0D76">
      <w:pPr>
        <w:ind w:left="454"/>
      </w:pPr>
    </w:p>
    <w:p w14:paraId="5DE070B5" w14:textId="77777777" w:rsidR="00937787" w:rsidRPr="00366F31" w:rsidRDefault="00937787" w:rsidP="008F0D76">
      <w:pPr>
        <w:pStyle w:val="ListParagraph"/>
        <w:numPr>
          <w:ilvl w:val="0"/>
          <w:numId w:val="22"/>
        </w:numPr>
      </w:pPr>
      <w:r w:rsidRPr="00366F31">
        <w:rPr>
          <w:b/>
          <w:i/>
        </w:rPr>
        <w:t>Antihypertenseurs</w:t>
      </w:r>
      <w:r w:rsidR="006D46D7" w:rsidRPr="00366F31">
        <w:t>: L’effet antihypertenseur est partiellement diminué par l’activité minéralocorticoïde des corticoïdes, ce qui peut conduire à une pression sanguine élevée.</w:t>
      </w:r>
    </w:p>
    <w:p w14:paraId="0650B297" w14:textId="77777777" w:rsidR="00937787" w:rsidRPr="00366F31" w:rsidRDefault="00937787" w:rsidP="008F0D76">
      <w:pPr>
        <w:pStyle w:val="ListParagraph"/>
        <w:ind w:left="816"/>
      </w:pPr>
    </w:p>
    <w:p w14:paraId="60DFEE5F" w14:textId="77777777" w:rsidR="00937787" w:rsidRPr="00366F31" w:rsidRDefault="00937787" w:rsidP="008F0D76">
      <w:pPr>
        <w:pStyle w:val="spacing1"/>
        <w:numPr>
          <w:ilvl w:val="0"/>
          <w:numId w:val="22"/>
        </w:numPr>
        <w:shd w:val="clear" w:color="auto" w:fill="FFFFFF"/>
        <w:spacing w:before="0" w:beforeAutospacing="0" w:after="0"/>
        <w:rPr>
          <w:rFonts w:ascii="Arial" w:hAnsi="Arial" w:cs="Arial"/>
          <w:lang w:val="fr-BE"/>
        </w:rPr>
      </w:pPr>
      <w:r w:rsidRPr="00366F31">
        <w:rPr>
          <w:b/>
          <w:i/>
          <w:szCs w:val="20"/>
          <w:lang w:val="fr-FR" w:eastAsia="en-US"/>
        </w:rPr>
        <w:t>Diurétiques</w:t>
      </w:r>
      <w:r w:rsidRPr="00366F31">
        <w:rPr>
          <w:szCs w:val="20"/>
          <w:lang w:val="fr-FR" w:eastAsia="en-US"/>
        </w:rPr>
        <w:t>: Avec les diurétiques hypokaliémiques, tels que p.ex. le furosémide, les valeurs de potassium doivent être surveillées. Le cas échéant, le potassium doit être compensé.</w:t>
      </w:r>
    </w:p>
    <w:p w14:paraId="09C8901A" w14:textId="77777777" w:rsidR="00937787" w:rsidRPr="00366F31" w:rsidRDefault="00937787" w:rsidP="008F0D76">
      <w:pPr>
        <w:pStyle w:val="ListParagraph"/>
        <w:ind w:left="814"/>
      </w:pPr>
    </w:p>
    <w:p w14:paraId="6E4CE3E6" w14:textId="77777777" w:rsidR="00937787" w:rsidRPr="00366F31" w:rsidRDefault="00937787" w:rsidP="008F0D76">
      <w:pPr>
        <w:pStyle w:val="spacing1"/>
        <w:numPr>
          <w:ilvl w:val="0"/>
          <w:numId w:val="22"/>
        </w:numPr>
        <w:shd w:val="clear" w:color="auto" w:fill="FFFFFF"/>
        <w:spacing w:before="0" w:beforeAutospacing="0" w:after="0"/>
        <w:rPr>
          <w:lang w:val="fr-BE"/>
        </w:rPr>
      </w:pPr>
      <w:r w:rsidRPr="00366F31">
        <w:rPr>
          <w:b/>
          <w:i/>
          <w:iCs/>
          <w:lang w:val="fr-BE"/>
        </w:rPr>
        <w:t>Psychotropes</w:t>
      </w:r>
      <w:r w:rsidRPr="00366F31">
        <w:rPr>
          <w:i/>
          <w:iCs/>
          <w:lang w:val="fr-BE"/>
        </w:rPr>
        <w:t>:</w:t>
      </w:r>
      <w:r w:rsidRPr="00366F31">
        <w:rPr>
          <w:lang w:val="fr-BE"/>
        </w:rPr>
        <w:t xml:space="preserve"> L’effet des anxiolytiques et des antipsychotiques peut être diminué. Au besoin, la posologie des substances actives sur le SNC doit être adaptée.</w:t>
      </w:r>
    </w:p>
    <w:p w14:paraId="16CFE013" w14:textId="77777777" w:rsidR="00937787" w:rsidRPr="00366F31" w:rsidRDefault="00937787" w:rsidP="008F0D76">
      <w:pPr>
        <w:pStyle w:val="spacing1"/>
        <w:shd w:val="clear" w:color="auto" w:fill="FFFFFF"/>
        <w:spacing w:before="0" w:beforeAutospacing="0" w:after="0"/>
        <w:rPr>
          <w:lang w:val="fr-BE"/>
        </w:rPr>
      </w:pPr>
    </w:p>
    <w:p w14:paraId="3FD3F392" w14:textId="77777777" w:rsidR="00937787" w:rsidRPr="00366F31" w:rsidRDefault="00937787" w:rsidP="008F0D76">
      <w:pPr>
        <w:pStyle w:val="spacing1"/>
        <w:numPr>
          <w:ilvl w:val="0"/>
          <w:numId w:val="22"/>
        </w:numPr>
        <w:shd w:val="clear" w:color="auto" w:fill="FFFFFF"/>
        <w:spacing w:before="0" w:beforeAutospacing="0" w:after="0"/>
        <w:ind w:left="357" w:hanging="357"/>
        <w:rPr>
          <w:lang w:val="fr-BE"/>
        </w:rPr>
      </w:pPr>
      <w:r w:rsidRPr="00366F31">
        <w:rPr>
          <w:b/>
          <w:i/>
          <w:lang w:val="fr-BE"/>
        </w:rPr>
        <w:t>Sympathomimétiques</w:t>
      </w:r>
      <w:r w:rsidRPr="00366F31">
        <w:rPr>
          <w:lang w:val="fr-BE"/>
        </w:rPr>
        <w:t>: L’effet ainsi que potentiellement la toxicité du salbutamol sont augmentés.</w:t>
      </w:r>
    </w:p>
    <w:p w14:paraId="41340A7F" w14:textId="77777777" w:rsidR="00937787" w:rsidRPr="00366F31" w:rsidRDefault="00937787" w:rsidP="008F0D76">
      <w:pPr>
        <w:pStyle w:val="spacing1"/>
        <w:shd w:val="clear" w:color="auto" w:fill="FFFFFF"/>
        <w:spacing w:before="0" w:beforeAutospacing="0" w:after="0"/>
        <w:rPr>
          <w:lang w:val="fr-BE"/>
        </w:rPr>
      </w:pPr>
    </w:p>
    <w:p w14:paraId="0483778B" w14:textId="77777777" w:rsidR="00937787" w:rsidRPr="00366F31" w:rsidRDefault="00937787" w:rsidP="008F0D76">
      <w:pPr>
        <w:pStyle w:val="nospacing"/>
        <w:numPr>
          <w:ilvl w:val="0"/>
          <w:numId w:val="22"/>
        </w:numPr>
        <w:shd w:val="clear" w:color="auto" w:fill="FFFFFF"/>
        <w:spacing w:before="0" w:beforeAutospacing="0" w:after="0"/>
        <w:ind w:left="357" w:hanging="357"/>
        <w:rPr>
          <w:lang w:val="fr-BE"/>
        </w:rPr>
      </w:pPr>
      <w:r w:rsidRPr="00366F31">
        <w:rPr>
          <w:b/>
          <w:i/>
          <w:lang w:val="fr-BE"/>
        </w:rPr>
        <w:t>Cytostatiques</w:t>
      </w:r>
      <w:r w:rsidRPr="00366F31">
        <w:rPr>
          <w:b/>
          <w:lang w:val="fr-BE"/>
        </w:rPr>
        <w:t>:</w:t>
      </w:r>
      <w:r w:rsidRPr="00366F31">
        <w:rPr>
          <w:lang w:val="fr-BE"/>
        </w:rPr>
        <w:t xml:space="preserve"> L’activité de la cyclophosphamide peut être diminuée.</w:t>
      </w:r>
    </w:p>
    <w:p w14:paraId="428DB4F6" w14:textId="77777777" w:rsidR="001E6CAE" w:rsidRPr="00366F31" w:rsidRDefault="001E6CAE" w:rsidP="008F0D76">
      <w:pPr>
        <w:ind w:left="454"/>
      </w:pPr>
    </w:p>
    <w:p w14:paraId="51641450" w14:textId="77777777" w:rsidR="001E6CAE" w:rsidRPr="00366F31" w:rsidRDefault="00056D31" w:rsidP="008F0D76">
      <w:pPr>
        <w:numPr>
          <w:ilvl w:val="0"/>
          <w:numId w:val="22"/>
        </w:numPr>
      </w:pPr>
      <w:r>
        <w:rPr>
          <w:b/>
          <w:i/>
        </w:rPr>
        <w:t>I</w:t>
      </w:r>
      <w:r w:rsidRPr="00056D31">
        <w:rPr>
          <w:b/>
          <w:i/>
        </w:rPr>
        <w:t>soniazide</w:t>
      </w:r>
      <w:r w:rsidR="001E6CAE" w:rsidRPr="00366F31">
        <w:t xml:space="preserve">: réduction possible des concentrations sériques d’isoniazide </w:t>
      </w:r>
      <w:r w:rsidR="00AD08FE">
        <w:t>(voir rubrique 4.4)</w:t>
      </w:r>
      <w:r w:rsidR="001E6CAE" w:rsidRPr="00366F31">
        <w:t>; la rifampicine semble diminuer significativement l’effet des corticostéroïdes chez certains patients en stimulant leur métabolisme.</w:t>
      </w:r>
    </w:p>
    <w:p w14:paraId="076C1DD4" w14:textId="77777777" w:rsidR="001E6CAE" w:rsidRPr="00366F31" w:rsidRDefault="001E6CAE" w:rsidP="008F0D76">
      <w:pPr>
        <w:ind w:left="454"/>
      </w:pPr>
    </w:p>
    <w:p w14:paraId="59C0FC8B" w14:textId="77777777" w:rsidR="001E6CAE" w:rsidRPr="00366F31" w:rsidRDefault="001E6CAE" w:rsidP="008F0D76">
      <w:pPr>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Glucosides digitaliques</w:t>
      </w:r>
      <w:r w:rsidRPr="00366F31">
        <w:t xml:space="preserve"> : leur administration concomitante peut accroître le risque de toxicité digitalique.</w:t>
      </w:r>
    </w:p>
    <w:p w14:paraId="5BA558FB" w14:textId="77777777" w:rsidR="001E6CAE" w:rsidRPr="00366F31" w:rsidRDefault="001E6CAE" w:rsidP="008F0D76">
      <w:pPr>
        <w:tabs>
          <w:tab w:val="left" w:pos="-1094"/>
          <w:tab w:val="left" w:pos="-720"/>
          <w:tab w:val="left" w:pos="0"/>
          <w:tab w:val="left" w:pos="720"/>
          <w:tab w:val="left" w:pos="1440"/>
          <w:tab w:val="left" w:pos="2160"/>
          <w:tab w:val="left" w:pos="2880"/>
          <w:tab w:val="left" w:pos="3600"/>
          <w:tab w:val="left" w:pos="4228"/>
          <w:tab w:val="left" w:pos="5040"/>
        </w:tabs>
        <w:ind w:left="454"/>
      </w:pPr>
    </w:p>
    <w:p w14:paraId="71537204" w14:textId="77777777" w:rsidR="001E6CAE" w:rsidRPr="00366F31" w:rsidRDefault="001E6CAE" w:rsidP="008F0D76">
      <w:pPr>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Hormone de croissance humaine</w:t>
      </w:r>
      <w:r w:rsidRPr="00366F31">
        <w:t xml:space="preserve"> (par ex. somatropine) : risque d’inhibition de l’effet de la somatropine sur la croissance.</w:t>
      </w:r>
    </w:p>
    <w:p w14:paraId="294A05AE" w14:textId="77777777" w:rsidR="001E6CAE" w:rsidRPr="00366F31" w:rsidRDefault="001E6CAE" w:rsidP="008F0D76">
      <w:pPr>
        <w:tabs>
          <w:tab w:val="left" w:pos="-1094"/>
          <w:tab w:val="left" w:pos="-720"/>
          <w:tab w:val="left" w:pos="0"/>
          <w:tab w:val="left" w:pos="720"/>
          <w:tab w:val="left" w:pos="1440"/>
          <w:tab w:val="left" w:pos="2160"/>
          <w:tab w:val="left" w:pos="2880"/>
          <w:tab w:val="left" w:pos="3600"/>
          <w:tab w:val="left" w:pos="4228"/>
          <w:tab w:val="left" w:pos="5040"/>
        </w:tabs>
        <w:ind w:left="454"/>
      </w:pPr>
    </w:p>
    <w:p w14:paraId="17C8B25D" w14:textId="77777777" w:rsidR="001E6CAE" w:rsidRPr="00366F31" w:rsidRDefault="001E6CAE" w:rsidP="008F0D76">
      <w:pPr>
        <w:numPr>
          <w:ilvl w:val="0"/>
          <w:numId w:val="22"/>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Myorelaxants non dépolarisants</w:t>
      </w:r>
      <w:r w:rsidRPr="00366F31">
        <w:t xml:space="preserve"> : les corticostéroïdes peuvent diminuer ou renforcer l’effet d’inhibition neuromusculaire.</w:t>
      </w:r>
    </w:p>
    <w:p w14:paraId="096F5E93" w14:textId="77777777" w:rsidR="001E6CAE" w:rsidRPr="00366F31" w:rsidRDefault="001E6CAE" w:rsidP="008F0D76">
      <w:pPr>
        <w:tabs>
          <w:tab w:val="left" w:pos="-1094"/>
          <w:tab w:val="left" w:pos="-720"/>
          <w:tab w:val="left" w:pos="0"/>
          <w:tab w:val="left" w:pos="720"/>
          <w:tab w:val="left" w:pos="1440"/>
          <w:tab w:val="left" w:pos="2160"/>
          <w:tab w:val="left" w:pos="2880"/>
          <w:tab w:val="left" w:pos="3600"/>
          <w:tab w:val="left" w:pos="4228"/>
          <w:tab w:val="left" w:pos="5040"/>
        </w:tabs>
        <w:ind w:left="454"/>
      </w:pPr>
    </w:p>
    <w:p w14:paraId="108BD724" w14:textId="77777777" w:rsidR="00163C4C" w:rsidRPr="00366F31" w:rsidRDefault="001E6CAE" w:rsidP="008F0D76">
      <w:pPr>
        <w:numPr>
          <w:ilvl w:val="0"/>
          <w:numId w:val="23"/>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 xml:space="preserve">Anti-inflammatoires non stéroïdiens (AINS) </w:t>
      </w:r>
      <w:r w:rsidRPr="00366F31">
        <w:t xml:space="preserve">: les corticostéroïdes peuvent augmenter l’incidence et la sévérité des hémorragies gastro-intestinales et des ulcérations associées aux AINS. Les corticostéroïdes peuvent également réduire les taux sériques de salicylés et donc également leur efficacité. Inversement, l’interruption des corticostéroïdes au cours d’un traitement par doses élevées de salicylés peut entraîner une toxicité des salicylés. </w:t>
      </w:r>
      <w:r w:rsidR="00163C4C" w:rsidRPr="00366F31">
        <w:t>L’</w:t>
      </w:r>
      <w:r w:rsidR="00163C4C" w:rsidRPr="00366F31">
        <w:rPr>
          <w:b/>
          <w:i/>
        </w:rPr>
        <w:t xml:space="preserve">acide acétylsalicylique </w:t>
      </w:r>
      <w:r w:rsidR="00163C4C" w:rsidRPr="00366F31">
        <w:t>doit être utilisé avec précaution en association aux corticostéroïdes chez des patients atteints d’hypoprothrombinémie.</w:t>
      </w:r>
    </w:p>
    <w:p w14:paraId="5FC93A39" w14:textId="77777777" w:rsidR="001E6CAE" w:rsidRPr="00366F31" w:rsidRDefault="001E6CAE" w:rsidP="008F0D76">
      <w:pPr>
        <w:pStyle w:val="Header"/>
        <w:tabs>
          <w:tab w:val="clear" w:pos="9072"/>
          <w:tab w:val="left" w:pos="-1094"/>
          <w:tab w:val="left" w:pos="-720"/>
          <w:tab w:val="left" w:pos="0"/>
          <w:tab w:val="left" w:pos="720"/>
          <w:tab w:val="left" w:pos="1440"/>
          <w:tab w:val="left" w:pos="2160"/>
          <w:tab w:val="left" w:pos="2880"/>
          <w:tab w:val="left" w:pos="3600"/>
          <w:tab w:val="left" w:pos="4228"/>
          <w:tab w:val="left" w:pos="5040"/>
        </w:tabs>
      </w:pPr>
    </w:p>
    <w:p w14:paraId="45CB74BF" w14:textId="77777777" w:rsidR="006B1FB5" w:rsidRDefault="006B1FB5" w:rsidP="008F0D76">
      <w:pPr>
        <w:numPr>
          <w:ilvl w:val="0"/>
          <w:numId w:val="24"/>
        </w:numPr>
      </w:pPr>
      <w:r w:rsidRPr="00366F31">
        <w:rPr>
          <w:b/>
          <w:i/>
        </w:rPr>
        <w:t>Médicaments thyroïdiens</w:t>
      </w:r>
      <w:r>
        <w:rPr>
          <w:b/>
          <w:i/>
        </w:rPr>
        <w:t> :</w:t>
      </w:r>
      <w:r w:rsidRPr="00366F31">
        <w:t xml:space="preserve"> Les glucocorticoïdes peuvent diminuer la capture et la fixation protéïque de l’iode, rendant ainsi difficile le contrôle de la réponse thérapeutique des patients thyroïdiens traités par l’iode.</w:t>
      </w:r>
    </w:p>
    <w:p w14:paraId="294AADA3" w14:textId="77777777" w:rsidR="006B1FB5" w:rsidRPr="00366F31" w:rsidRDefault="006B1FB5" w:rsidP="008F0D76">
      <w:pPr>
        <w:ind w:left="814"/>
      </w:pPr>
    </w:p>
    <w:p w14:paraId="30F40F6C" w14:textId="77777777" w:rsidR="001E6CAE" w:rsidRDefault="001E6CAE" w:rsidP="008F0D76">
      <w:pPr>
        <w:numPr>
          <w:ilvl w:val="0"/>
          <w:numId w:val="24"/>
        </w:numPr>
        <w:tabs>
          <w:tab w:val="left" w:pos="-1094"/>
          <w:tab w:val="left" w:pos="-720"/>
          <w:tab w:val="left" w:pos="0"/>
          <w:tab w:val="left" w:pos="720"/>
          <w:tab w:val="left" w:pos="1440"/>
          <w:tab w:val="left" w:pos="2160"/>
          <w:tab w:val="left" w:pos="2880"/>
          <w:tab w:val="left" w:pos="3600"/>
          <w:tab w:val="left" w:pos="4228"/>
          <w:tab w:val="left" w:pos="5040"/>
        </w:tabs>
      </w:pPr>
      <w:r w:rsidRPr="00366F31">
        <w:rPr>
          <w:b/>
          <w:i/>
        </w:rPr>
        <w:t>Inhibiteurs de l’enzyme de conversion</w:t>
      </w:r>
      <w:r w:rsidRPr="00366F31">
        <w:t xml:space="preserve"> : possibilité d’interaction avec l’acétonide de triamcinolone.</w:t>
      </w:r>
    </w:p>
    <w:p w14:paraId="1E006778" w14:textId="77777777" w:rsidR="00682129" w:rsidRDefault="00682129" w:rsidP="00682129">
      <w:pPr>
        <w:pStyle w:val="ListParagraph"/>
      </w:pPr>
    </w:p>
    <w:p w14:paraId="108E3A24" w14:textId="77777777" w:rsidR="001E6CAE" w:rsidRPr="00366F31" w:rsidRDefault="001E6CAE">
      <w:pPr>
        <w:pStyle w:val="Heading1"/>
        <w:ind w:left="681"/>
        <w:jc w:val="left"/>
        <w:rPr>
          <w:b w:val="0"/>
          <w:sz w:val="24"/>
          <w:lang w:val="fr-BE"/>
        </w:rPr>
      </w:pPr>
      <w:r w:rsidRPr="00366F31">
        <w:rPr>
          <w:b w:val="0"/>
          <w:sz w:val="24"/>
          <w:lang w:val="fr-BE"/>
        </w:rPr>
        <w:t xml:space="preserve">Interactions avec les tests de diagnostic : </w:t>
      </w:r>
    </w:p>
    <w:p w14:paraId="3B593EDC" w14:textId="77777777" w:rsidR="001E6CAE" w:rsidRPr="00366F31" w:rsidRDefault="001E6CAE">
      <w:pPr>
        <w:ind w:left="681"/>
      </w:pPr>
      <w:r w:rsidRPr="00366F31">
        <w:t>Au niveau du laboratoire, l’acétonide de triamcinolone interfère avec les tests de l’amylase, du cholestérol, du glucose sanguin, du sodium, du calcium, du potassium et de la thyroïde.</w:t>
      </w:r>
    </w:p>
    <w:p w14:paraId="69CD5835" w14:textId="77777777" w:rsidR="001E6CAE" w:rsidRPr="00366F31" w:rsidRDefault="001E6CAE">
      <w:pPr>
        <w:tabs>
          <w:tab w:val="left" w:pos="-1094"/>
          <w:tab w:val="left" w:pos="-720"/>
          <w:tab w:val="left" w:pos="0"/>
          <w:tab w:val="left" w:pos="720"/>
          <w:tab w:val="left" w:pos="1440"/>
          <w:tab w:val="left" w:pos="2160"/>
          <w:tab w:val="left" w:pos="2880"/>
          <w:tab w:val="left" w:pos="3600"/>
          <w:tab w:val="left" w:pos="4228"/>
          <w:tab w:val="left" w:pos="5040"/>
        </w:tabs>
        <w:ind w:left="681"/>
      </w:pPr>
      <w:r w:rsidRPr="00366F31">
        <w:t>Les corticostéroïdes peuvent influencer le test du nitrobleu de tétrazolium pour les infections bactériennes, et donner des résultats faussement négatifs.</w:t>
      </w:r>
    </w:p>
    <w:p w14:paraId="05BDE4BD" w14:textId="77777777" w:rsidR="001E6CAE" w:rsidRPr="00366F31" w:rsidRDefault="001E6CAE">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rPr>
          <w:lang w:val="fr-BE"/>
        </w:rPr>
      </w:pPr>
    </w:p>
    <w:p w14:paraId="60FCE752" w14:textId="77777777" w:rsidR="001E6CAE" w:rsidRPr="00431949" w:rsidRDefault="001E6CAE">
      <w:pPr>
        <w:pStyle w:val="Heading3"/>
        <w:rPr>
          <w:b/>
          <w:bCs/>
          <w:u w:val="none"/>
          <w:lang w:val="fr-BE"/>
        </w:rPr>
      </w:pPr>
      <w:r w:rsidRPr="00431949">
        <w:rPr>
          <w:b/>
          <w:bCs/>
          <w:u w:val="none"/>
          <w:lang w:val="fr-BE"/>
        </w:rPr>
        <w:t>4.6</w:t>
      </w:r>
      <w:r w:rsidRPr="00431949">
        <w:rPr>
          <w:b/>
          <w:bCs/>
          <w:u w:val="none"/>
          <w:lang w:val="fr-BE"/>
        </w:rPr>
        <w:tab/>
      </w:r>
      <w:r w:rsidR="00945DF1" w:rsidRPr="00431949">
        <w:rPr>
          <w:b/>
          <w:bCs/>
          <w:u w:val="none"/>
          <w:lang w:val="fr-BE"/>
        </w:rPr>
        <w:t>Fertilité</w:t>
      </w:r>
      <w:r w:rsidR="00F60A32" w:rsidRPr="00431949">
        <w:rPr>
          <w:b/>
          <w:bCs/>
          <w:u w:val="none"/>
          <w:lang w:val="fr-BE"/>
        </w:rPr>
        <w:t>, g</w:t>
      </w:r>
      <w:r w:rsidRPr="00431949">
        <w:rPr>
          <w:b/>
          <w:bCs/>
          <w:u w:val="none"/>
          <w:lang w:val="fr-BE"/>
        </w:rPr>
        <w:t>rossesse et allaitement</w:t>
      </w:r>
    </w:p>
    <w:p w14:paraId="61432BA0" w14:textId="77777777" w:rsidR="001E6CAE" w:rsidRPr="00366F31" w:rsidRDefault="001E6CAE">
      <w:pPr>
        <w:ind w:left="681"/>
        <w:rPr>
          <w:lang w:val="fr-BE"/>
        </w:rPr>
      </w:pPr>
    </w:p>
    <w:p w14:paraId="68ED761C" w14:textId="77777777" w:rsidR="001E6CAE" w:rsidRPr="00431949" w:rsidRDefault="001E6CAE">
      <w:pPr>
        <w:pStyle w:val="Heading5"/>
        <w:rPr>
          <w:b w:val="0"/>
          <w:i w:val="0"/>
          <w:sz w:val="24"/>
          <w:u w:val="single"/>
          <w:lang w:val="fr-BE"/>
        </w:rPr>
      </w:pPr>
      <w:r w:rsidRPr="00431949">
        <w:rPr>
          <w:b w:val="0"/>
          <w:i w:val="0"/>
          <w:sz w:val="24"/>
          <w:u w:val="single"/>
          <w:lang w:val="fr-BE"/>
        </w:rPr>
        <w:t>Grossesse :</w:t>
      </w:r>
    </w:p>
    <w:p w14:paraId="78D8F9F8" w14:textId="77777777" w:rsidR="001E6CAE" w:rsidRPr="00366F31" w:rsidRDefault="008B16AE">
      <w:pPr>
        <w:ind w:left="681"/>
      </w:pPr>
      <w:r w:rsidRPr="00366F31">
        <w:t>Kenacort-A 10 mg/ml ne doit pas être utilisé pendant la grossesse</w:t>
      </w:r>
      <w:r w:rsidR="001E6CAE" w:rsidRPr="00366F31">
        <w:t xml:space="preserve">, en particulier, au cours du premier trimestre </w:t>
      </w:r>
      <w:r w:rsidRPr="00366F31">
        <w:t xml:space="preserve">à moins que la situation clinique de la femme ne justifie le traitement avec </w:t>
      </w:r>
      <w:r w:rsidR="00742866" w:rsidRPr="00366F31">
        <w:t>l'</w:t>
      </w:r>
      <w:r w:rsidRPr="00366F31">
        <w:t>acétonide de triamcinolone</w:t>
      </w:r>
      <w:r w:rsidR="00742866" w:rsidRPr="00366F31">
        <w:t>.</w:t>
      </w:r>
      <w:r w:rsidRPr="00366F31">
        <w:t xml:space="preserve"> </w:t>
      </w:r>
      <w:r w:rsidR="001E6CAE" w:rsidRPr="00366F31">
        <w:t>De l'hyposurrénalisme peut se manifester chez les enfants issus de mères traitées par des corticostéroïdes.</w:t>
      </w:r>
    </w:p>
    <w:p w14:paraId="36FA8B37" w14:textId="77777777" w:rsidR="001E6CAE" w:rsidRPr="00366F31" w:rsidRDefault="001E6CAE">
      <w:pPr>
        <w:ind w:left="681"/>
        <w:rPr>
          <w:b/>
          <w:lang w:val="fr-BE"/>
        </w:rPr>
      </w:pPr>
    </w:p>
    <w:p w14:paraId="44BB9B04" w14:textId="77777777" w:rsidR="001E6CAE" w:rsidRPr="00431949" w:rsidRDefault="001E6CAE">
      <w:pPr>
        <w:pStyle w:val="Heading5"/>
        <w:rPr>
          <w:b w:val="0"/>
          <w:i w:val="0"/>
          <w:sz w:val="24"/>
          <w:u w:val="single"/>
          <w:lang w:val="fr-BE"/>
        </w:rPr>
      </w:pPr>
      <w:r w:rsidRPr="00431949">
        <w:rPr>
          <w:b w:val="0"/>
          <w:i w:val="0"/>
          <w:sz w:val="24"/>
          <w:u w:val="single"/>
          <w:lang w:val="fr-BE"/>
        </w:rPr>
        <w:t>Allaitement :</w:t>
      </w:r>
    </w:p>
    <w:p w14:paraId="6C36C0B7" w14:textId="77777777" w:rsidR="001E6CAE" w:rsidRPr="00366F31" w:rsidRDefault="00742866">
      <w:pPr>
        <w:ind w:left="681"/>
      </w:pPr>
      <w:r w:rsidRPr="00366F31">
        <w:t xml:space="preserve">Kenacort-A 10 mg/ml est contre-indiqué pendant l'allaitement (voir rubrique 4.3). Une décision doit être prise soit d'interrompre l'allaitement soit d'interrompre ou de s'abstenir du traitement avec Kenacort-A 10 mg/ml </w:t>
      </w:r>
      <w:r w:rsidR="007A4204" w:rsidRPr="00366F31">
        <w:t>en prenant compte le bénéfice de l'allaitement pour l'enfant au regard du bénéfice du traitement pour l</w:t>
      </w:r>
      <w:r w:rsidR="00915BC2" w:rsidRPr="00366F31">
        <w:t>a</w:t>
      </w:r>
      <w:r w:rsidR="007A4204" w:rsidRPr="00366F31">
        <w:t xml:space="preserve"> femme.</w:t>
      </w:r>
      <w:r w:rsidR="001E6CAE" w:rsidRPr="00366F31">
        <w:t xml:space="preserve"> </w:t>
      </w:r>
    </w:p>
    <w:p w14:paraId="0B8C2BA3" w14:textId="77777777" w:rsidR="00925D6B" w:rsidRPr="00366F31" w:rsidRDefault="00925D6B">
      <w:pPr>
        <w:ind w:left="681"/>
      </w:pPr>
    </w:p>
    <w:p w14:paraId="1B72C922" w14:textId="77777777" w:rsidR="0011138E" w:rsidRPr="00366F31" w:rsidRDefault="00875225" w:rsidP="00937787">
      <w:pPr>
        <w:autoSpaceDE w:val="0"/>
        <w:autoSpaceDN w:val="0"/>
        <w:adjustRightInd w:val="0"/>
        <w:ind w:left="681"/>
      </w:pPr>
      <w:r w:rsidRPr="00366F31">
        <w:t xml:space="preserve">Plusieurs corticoïdes ont montré une activité tératogène chez les animaux de laboratoire à faibles doses. Puisque les études adéquates de procréation n'ont pas été réalisées avec des corticostéroïdes, l'utilisation de ces médicaments </w:t>
      </w:r>
      <w:r w:rsidR="004A5102" w:rsidRPr="00366F31">
        <w:t>lors de</w:t>
      </w:r>
      <w:r w:rsidRPr="00366F31">
        <w:t xml:space="preserve"> la grossesse,</w:t>
      </w:r>
      <w:r w:rsidR="004A5102" w:rsidRPr="00366F31">
        <w:t xml:space="preserve"> chez</w:t>
      </w:r>
      <w:r w:rsidRPr="00366F31">
        <w:t xml:space="preserve"> les mères qui allaitent ou</w:t>
      </w:r>
      <w:r w:rsidR="004A5102" w:rsidRPr="00366F31">
        <w:t xml:space="preserve"> chez</w:t>
      </w:r>
      <w:r w:rsidRPr="00366F31">
        <w:t xml:space="preserve"> les femmes susceptibles de procréer exige que les avantages possibles </w:t>
      </w:r>
      <w:r w:rsidR="004A5102" w:rsidRPr="00366F31">
        <w:t>du médicament doivent</w:t>
      </w:r>
      <w:r w:rsidRPr="00366F31">
        <w:t xml:space="preserve"> être </w:t>
      </w:r>
      <w:r w:rsidR="0011138E" w:rsidRPr="00366F31">
        <w:t>évalués par rapport aux</w:t>
      </w:r>
      <w:r w:rsidRPr="00366F31">
        <w:t xml:space="preserve"> risques potentiels pour la mère et l'embryon, </w:t>
      </w:r>
      <w:r w:rsidR="0011138E" w:rsidRPr="00366F31">
        <w:t>le fœtus</w:t>
      </w:r>
      <w:r w:rsidRPr="00366F31">
        <w:t xml:space="preserve"> ou le nourrisson allaité. </w:t>
      </w:r>
    </w:p>
    <w:p w14:paraId="1D9AEAAE" w14:textId="77777777" w:rsidR="00875225" w:rsidRPr="00366F31" w:rsidRDefault="009420A6" w:rsidP="00937787">
      <w:pPr>
        <w:autoSpaceDE w:val="0"/>
        <w:autoSpaceDN w:val="0"/>
        <w:adjustRightInd w:val="0"/>
        <w:ind w:left="681"/>
      </w:pPr>
      <w:r w:rsidRPr="00366F31">
        <w:t>Il a été démontré que d</w:t>
      </w:r>
      <w:r w:rsidR="0011138E" w:rsidRPr="00366F31">
        <w:t>’a</w:t>
      </w:r>
      <w:r w:rsidR="00875225" w:rsidRPr="00366F31">
        <w:t xml:space="preserve">utres corticostéroïdes systémiques </w:t>
      </w:r>
      <w:r w:rsidRPr="00366F31">
        <w:t>so</w:t>
      </w:r>
      <w:r w:rsidR="00875225" w:rsidRPr="00366F31">
        <w:t xml:space="preserve">nt </w:t>
      </w:r>
      <w:r w:rsidRPr="00366F31">
        <w:t>apparus</w:t>
      </w:r>
      <w:r w:rsidR="00875225" w:rsidRPr="00366F31">
        <w:t xml:space="preserve"> dans le lait maternel et </w:t>
      </w:r>
      <w:r w:rsidRPr="00366F31">
        <w:t xml:space="preserve">ont </w:t>
      </w:r>
      <w:r w:rsidR="00875225" w:rsidRPr="00366F31">
        <w:t>légèrement</w:t>
      </w:r>
      <w:r w:rsidRPr="00366F31">
        <w:t xml:space="preserve"> élevé</w:t>
      </w:r>
      <w:r w:rsidR="00875225" w:rsidRPr="00366F31">
        <w:t xml:space="preserve"> (1%) le risque de fente palatine chez les fœtus humains. Les enfants nés de mères qui ont reçu des doses importantes de corticostéroïdes penda</w:t>
      </w:r>
      <w:r w:rsidRPr="00366F31">
        <w:t>nt la grossesse devraient être</w:t>
      </w:r>
      <w:r w:rsidR="00875225" w:rsidRPr="00366F31">
        <w:t xml:space="preserve"> observés</w:t>
      </w:r>
      <w:r w:rsidRPr="00366F31">
        <w:t xml:space="preserve"> avec précaution</w:t>
      </w:r>
      <w:r w:rsidR="00875225" w:rsidRPr="00366F31">
        <w:t xml:space="preserve"> pour </w:t>
      </w:r>
      <w:r w:rsidRPr="00366F31">
        <w:t>d</w:t>
      </w:r>
      <w:r w:rsidR="00875225" w:rsidRPr="00366F31">
        <w:t>es signes de suppression surrénalienne.</w:t>
      </w:r>
    </w:p>
    <w:p w14:paraId="5B29DA12" w14:textId="77777777" w:rsidR="001E6CAE" w:rsidRPr="00366F31" w:rsidRDefault="001E6CAE"/>
    <w:p w14:paraId="6F9FBB9A" w14:textId="77777777" w:rsidR="001E6CAE" w:rsidRPr="00431949" w:rsidRDefault="001E6CAE">
      <w:pPr>
        <w:pStyle w:val="Heading3"/>
        <w:tabs>
          <w:tab w:val="left" w:pos="7200"/>
        </w:tabs>
        <w:rPr>
          <w:b/>
          <w:bCs/>
          <w:u w:val="none"/>
          <w:lang w:val="fr-BE"/>
        </w:rPr>
      </w:pPr>
      <w:r w:rsidRPr="00431949">
        <w:rPr>
          <w:b/>
          <w:bCs/>
          <w:u w:val="none"/>
          <w:lang w:val="fr-BE"/>
        </w:rPr>
        <w:t>4.7</w:t>
      </w:r>
      <w:r w:rsidRPr="00431949">
        <w:rPr>
          <w:b/>
          <w:bCs/>
          <w:u w:val="none"/>
          <w:lang w:val="fr-BE"/>
        </w:rPr>
        <w:tab/>
        <w:t>Effets sur l’aptitude à conduire des véhicules et à utiliser des machines</w:t>
      </w:r>
    </w:p>
    <w:p w14:paraId="5DED05B2" w14:textId="77777777" w:rsidR="001E6CAE" w:rsidRPr="00366F31" w:rsidRDefault="001E6CAE">
      <w:pPr>
        <w:tabs>
          <w:tab w:val="left" w:pos="7200"/>
        </w:tabs>
        <w:ind w:left="681"/>
        <w:rPr>
          <w:lang w:val="fr-BE"/>
        </w:rPr>
      </w:pPr>
    </w:p>
    <w:p w14:paraId="69005627" w14:textId="77777777" w:rsidR="001E6CAE" w:rsidRPr="00366F31" w:rsidRDefault="001E6CAE">
      <w:pPr>
        <w:tabs>
          <w:tab w:val="left" w:pos="-1440"/>
        </w:tabs>
        <w:ind w:left="681"/>
      </w:pPr>
      <w:r w:rsidRPr="00366F31">
        <w:t>A de rares occasions on a rapporté des effets centraux lors de l'administration de doses élevées de corticoïdes. Quelques rares cas de faiblesse musculaire et d'effets ophtalmiques ont été rapportés lors d'une corticothérapie à long terme. En cas de perception de ces effets, il faudrait mettre les patients en garde quant à leur aptitude à conduire ou à utiliser des machines</w:t>
      </w:r>
      <w:r w:rsidR="007A4204" w:rsidRPr="00366F31">
        <w:t>.</w:t>
      </w:r>
    </w:p>
    <w:p w14:paraId="4CF603DD" w14:textId="77777777" w:rsidR="001E6CAE" w:rsidRPr="00366F31" w:rsidRDefault="001E6CAE">
      <w:pPr>
        <w:ind w:left="681"/>
        <w:rPr>
          <w:lang w:val="fr-BE"/>
        </w:rPr>
      </w:pPr>
    </w:p>
    <w:p w14:paraId="14FF0C21" w14:textId="77777777" w:rsidR="001E6CAE" w:rsidRPr="00431949" w:rsidRDefault="001E6CAE">
      <w:pPr>
        <w:pStyle w:val="Heading3"/>
        <w:rPr>
          <w:b/>
          <w:bCs/>
          <w:u w:val="none"/>
          <w:lang w:val="fr-BE"/>
        </w:rPr>
      </w:pPr>
      <w:r w:rsidRPr="00431949">
        <w:rPr>
          <w:b/>
          <w:bCs/>
          <w:u w:val="none"/>
          <w:lang w:val="fr-BE"/>
        </w:rPr>
        <w:t>4.8</w:t>
      </w:r>
      <w:r w:rsidRPr="00431949">
        <w:rPr>
          <w:b/>
          <w:bCs/>
          <w:u w:val="none"/>
          <w:lang w:val="fr-BE"/>
        </w:rPr>
        <w:tab/>
        <w:t>Effets indésirables</w:t>
      </w:r>
    </w:p>
    <w:p w14:paraId="17811579" w14:textId="77777777" w:rsidR="001E6CAE" w:rsidRPr="00366F31" w:rsidRDefault="001E6CAE">
      <w:pPr>
        <w:ind w:left="681"/>
      </w:pPr>
    </w:p>
    <w:p w14:paraId="4E21815F" w14:textId="77777777" w:rsidR="00592A52" w:rsidRPr="00366F31" w:rsidRDefault="00592A52" w:rsidP="00592A52">
      <w:pPr>
        <w:ind w:left="681"/>
      </w:pPr>
      <w:r w:rsidRPr="00366F31">
        <w:t>La liste des effets indésirables est présenté</w:t>
      </w:r>
      <w:r w:rsidR="00431949">
        <w:t>e</w:t>
      </w:r>
      <w:r w:rsidRPr="00366F31">
        <w:t xml:space="preserve"> par système-organe et par fréquence, selon les catégories suivantes : très fréquent (&gt; 1/10) ; fréquent (&gt; 1/100 à &lt; 1/10) ; peu fréquent (&gt; 1/1 000 à &lt; 1/100) ; rare (&gt; 1/10 000 à &lt; 1/1 000) ; très rare (&lt; 1/10 000) ; fréquence indéterminée (ne peut être estimée sur la base des données disponibles). Au sein de chaque fréquence de groupe, les effets indésirables sont présentés selon un ordre décroissant de gravité.</w:t>
      </w:r>
    </w:p>
    <w:p w14:paraId="766CFF1D" w14:textId="77777777" w:rsidR="00592A52" w:rsidRPr="00366F31" w:rsidRDefault="00592A52" w:rsidP="00592A52">
      <w:pPr>
        <w:ind w:left="681"/>
      </w:pPr>
    </w:p>
    <w:p w14:paraId="4E83E110" w14:textId="77777777" w:rsidR="0062637F" w:rsidRPr="00366F31" w:rsidRDefault="0062637F" w:rsidP="0062637F">
      <w:pPr>
        <w:ind w:left="681"/>
      </w:pPr>
      <w:r w:rsidRPr="00366F31">
        <w:lastRenderedPageBreak/>
        <w:t xml:space="preserve">Etant donné qu’une absorption systémique survient lors d’une administration intra-articulaire ou d’une autre administration locale, les patients doivent faire l’objet d’une surveillance particulière pour détecter les réactions indésirables suivantes qui peuvent être </w:t>
      </w:r>
      <w:r w:rsidRPr="00366F31">
        <w:rPr>
          <w:u w:val="single"/>
        </w:rPr>
        <w:t>associées à tout traitement par corticostéroïdes</w:t>
      </w:r>
      <w:r w:rsidRPr="00366F31">
        <w:t>:</w:t>
      </w:r>
    </w:p>
    <w:p w14:paraId="345E0173" w14:textId="77777777" w:rsidR="0062637F" w:rsidRPr="00366F31" w:rsidRDefault="0062637F">
      <w:pPr>
        <w:ind w:left="681"/>
        <w:rPr>
          <w:szCs w:val="24"/>
        </w:rPr>
      </w:pPr>
    </w:p>
    <w:tbl>
      <w:tblPr>
        <w:tblW w:w="861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800"/>
        <w:gridCol w:w="3150"/>
      </w:tblGrid>
      <w:tr w:rsidR="00E36A30" w:rsidRPr="00366F31" w14:paraId="6A4C9BA7"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156A5C11" w14:textId="77777777" w:rsidR="00E36A30" w:rsidRPr="00F51A33" w:rsidRDefault="00E36A30" w:rsidP="00F51A33">
            <w:pPr>
              <w:tabs>
                <w:tab w:val="left" w:pos="-1440"/>
              </w:tabs>
              <w:jc w:val="center"/>
              <w:rPr>
                <w:b/>
                <w:i/>
                <w:iCs/>
                <w:noProof/>
                <w:szCs w:val="24"/>
                <w:lang w:val="nl-NL"/>
              </w:rPr>
            </w:pPr>
            <w:r w:rsidRPr="00F51A33">
              <w:rPr>
                <w:b/>
                <w:i/>
                <w:iCs/>
                <w:noProof/>
                <w:szCs w:val="24"/>
              </w:rPr>
              <w:t>Classes de systèmes d’organes</w:t>
            </w:r>
          </w:p>
        </w:tc>
        <w:tc>
          <w:tcPr>
            <w:tcW w:w="1800" w:type="dxa"/>
            <w:tcBorders>
              <w:top w:val="single" w:sz="4" w:space="0" w:color="auto"/>
              <w:left w:val="single" w:sz="4" w:space="0" w:color="auto"/>
              <w:bottom w:val="single" w:sz="4" w:space="0" w:color="auto"/>
              <w:right w:val="single" w:sz="4" w:space="0" w:color="auto"/>
            </w:tcBorders>
            <w:hideMark/>
          </w:tcPr>
          <w:p w14:paraId="2C5AB000" w14:textId="77777777" w:rsidR="00E36A30" w:rsidRPr="00366F31" w:rsidRDefault="00E36A30" w:rsidP="00F51A33">
            <w:pPr>
              <w:tabs>
                <w:tab w:val="left" w:pos="-1440"/>
              </w:tabs>
              <w:jc w:val="both"/>
              <w:rPr>
                <w:b/>
                <w:noProof/>
                <w:szCs w:val="24"/>
                <w:lang w:val="nl-NL"/>
              </w:rPr>
            </w:pPr>
            <w:r w:rsidRPr="00366F31">
              <w:rPr>
                <w:b/>
                <w:noProof/>
                <w:szCs w:val="24"/>
                <w:lang w:val="nl-NL"/>
              </w:rPr>
              <w:t>Fréquence</w:t>
            </w:r>
          </w:p>
        </w:tc>
        <w:tc>
          <w:tcPr>
            <w:tcW w:w="3150" w:type="dxa"/>
            <w:tcBorders>
              <w:top w:val="single" w:sz="4" w:space="0" w:color="auto"/>
              <w:left w:val="single" w:sz="4" w:space="0" w:color="auto"/>
              <w:bottom w:val="single" w:sz="4" w:space="0" w:color="auto"/>
              <w:right w:val="single" w:sz="4" w:space="0" w:color="auto"/>
            </w:tcBorders>
            <w:hideMark/>
          </w:tcPr>
          <w:p w14:paraId="2E1EAFD7" w14:textId="77777777" w:rsidR="00E36A30" w:rsidRPr="00366F31" w:rsidRDefault="00E36A30" w:rsidP="00F51A33">
            <w:pPr>
              <w:tabs>
                <w:tab w:val="left" w:pos="-1440"/>
              </w:tabs>
              <w:rPr>
                <w:b/>
                <w:noProof/>
                <w:szCs w:val="24"/>
                <w:lang w:val="nl-NL"/>
              </w:rPr>
            </w:pPr>
            <w:r w:rsidRPr="00366F31">
              <w:rPr>
                <w:b/>
                <w:noProof/>
                <w:szCs w:val="24"/>
                <w:lang w:val="nl-NL"/>
              </w:rPr>
              <w:t>Effets indésirables</w:t>
            </w:r>
          </w:p>
        </w:tc>
      </w:tr>
      <w:tr w:rsidR="00E36A30" w:rsidRPr="00366F31" w14:paraId="509C0483"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17FC39A0" w14:textId="77777777" w:rsidR="00E36A30" w:rsidRPr="00366F31" w:rsidRDefault="00E36A30" w:rsidP="00F51A33">
            <w:pPr>
              <w:tabs>
                <w:tab w:val="left" w:pos="-1440"/>
              </w:tabs>
              <w:ind w:left="227"/>
              <w:rPr>
                <w:i/>
                <w:noProof/>
                <w:szCs w:val="24"/>
                <w:lang w:val="nl-NL"/>
              </w:rPr>
            </w:pPr>
            <w:r w:rsidRPr="00366F31">
              <w:rPr>
                <w:i/>
                <w:noProof/>
                <w:szCs w:val="24"/>
                <w:lang w:val="nl-NL"/>
              </w:rPr>
              <w:t>Infections et infestations</w:t>
            </w:r>
          </w:p>
        </w:tc>
        <w:tc>
          <w:tcPr>
            <w:tcW w:w="1800" w:type="dxa"/>
            <w:tcBorders>
              <w:top w:val="single" w:sz="4" w:space="0" w:color="auto"/>
              <w:left w:val="single" w:sz="4" w:space="0" w:color="auto"/>
              <w:bottom w:val="single" w:sz="4" w:space="0" w:color="auto"/>
              <w:right w:val="single" w:sz="4" w:space="0" w:color="auto"/>
            </w:tcBorders>
            <w:hideMark/>
          </w:tcPr>
          <w:p w14:paraId="423B6E71" w14:textId="77777777" w:rsidR="00E36A30" w:rsidRPr="00366F31" w:rsidRDefault="00E36A30" w:rsidP="00F51A33">
            <w:pPr>
              <w:tabs>
                <w:tab w:val="left" w:pos="-1440"/>
              </w:tabs>
              <w:jc w:val="both"/>
              <w:rPr>
                <w:noProof/>
                <w:szCs w:val="24"/>
                <w:lang w:val="nl-NL"/>
              </w:rPr>
            </w:pPr>
            <w:r w:rsidRPr="00366F31">
              <w:rPr>
                <w:noProof/>
                <w:szCs w:val="24"/>
                <w:lang w:val="fr-BE"/>
              </w:rPr>
              <w:t>Fréquent</w:t>
            </w:r>
          </w:p>
        </w:tc>
        <w:tc>
          <w:tcPr>
            <w:tcW w:w="3150" w:type="dxa"/>
            <w:tcBorders>
              <w:top w:val="single" w:sz="4" w:space="0" w:color="auto"/>
              <w:left w:val="single" w:sz="4" w:space="0" w:color="auto"/>
              <w:bottom w:val="single" w:sz="4" w:space="0" w:color="auto"/>
              <w:right w:val="single" w:sz="4" w:space="0" w:color="auto"/>
            </w:tcBorders>
            <w:hideMark/>
          </w:tcPr>
          <w:p w14:paraId="7D08AB2E" w14:textId="77777777" w:rsidR="00E36A30" w:rsidRPr="00366F31" w:rsidRDefault="00E36A30" w:rsidP="00F51A33">
            <w:pPr>
              <w:tabs>
                <w:tab w:val="left" w:pos="-1440"/>
              </w:tabs>
              <w:rPr>
                <w:noProof/>
                <w:szCs w:val="24"/>
                <w:lang w:val="fr-BE"/>
              </w:rPr>
            </w:pPr>
            <w:r w:rsidRPr="00366F31">
              <w:rPr>
                <w:noProof/>
                <w:szCs w:val="24"/>
                <w:lang w:val="fr-BE"/>
              </w:rPr>
              <w:t>une résistance amoindrie aux agents infectieux</w:t>
            </w:r>
            <w:r w:rsidRPr="00366F31">
              <w:rPr>
                <w:noProof/>
                <w:szCs w:val="24"/>
                <w:vertAlign w:val="superscript"/>
                <w:lang w:val="fr-BE"/>
              </w:rPr>
              <w:t>a</w:t>
            </w:r>
            <w:r w:rsidRPr="00366F31">
              <w:rPr>
                <w:noProof/>
                <w:szCs w:val="24"/>
                <w:lang w:val="fr-BE"/>
              </w:rPr>
              <w:t>, exacerbation d’une virose en cours, notamment herpès oculaire, exacerbation d’une infection bactérienne latente; infections opportunistes.</w:t>
            </w:r>
          </w:p>
        </w:tc>
      </w:tr>
      <w:tr w:rsidR="00E36A30" w:rsidRPr="00366F31" w14:paraId="4FD9B1E4" w14:textId="77777777" w:rsidTr="00F51A33">
        <w:tc>
          <w:tcPr>
            <w:tcW w:w="3667" w:type="dxa"/>
            <w:tcBorders>
              <w:top w:val="single" w:sz="4" w:space="0" w:color="auto"/>
              <w:left w:val="single" w:sz="4" w:space="0" w:color="auto"/>
              <w:bottom w:val="single" w:sz="4" w:space="0" w:color="auto"/>
              <w:right w:val="single" w:sz="4" w:space="0" w:color="auto"/>
            </w:tcBorders>
          </w:tcPr>
          <w:p w14:paraId="0C65F8B9"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3F039099"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06CF0AB0" w14:textId="77777777" w:rsidR="00E36A30" w:rsidRPr="00366F31" w:rsidRDefault="00E36A30" w:rsidP="00F51A33">
            <w:pPr>
              <w:tabs>
                <w:tab w:val="left" w:pos="-1440"/>
              </w:tabs>
              <w:rPr>
                <w:noProof/>
                <w:szCs w:val="24"/>
                <w:lang w:val="fr-BE"/>
              </w:rPr>
            </w:pPr>
            <w:r w:rsidRPr="00366F31">
              <w:rPr>
                <w:noProof/>
                <w:szCs w:val="24"/>
                <w:lang w:val="fr-BE"/>
              </w:rPr>
              <w:t>une atténuation des symptômes cliniques de l’infection</w:t>
            </w:r>
          </w:p>
        </w:tc>
      </w:tr>
      <w:tr w:rsidR="00E36A30" w:rsidRPr="00366F31" w14:paraId="03CD45B7"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6D8A5B41" w14:textId="77777777" w:rsidR="00E36A30" w:rsidRPr="00366F31" w:rsidRDefault="00E36A30" w:rsidP="00F51A33">
            <w:pPr>
              <w:tabs>
                <w:tab w:val="left" w:pos="-1440"/>
              </w:tabs>
              <w:ind w:left="227"/>
              <w:rPr>
                <w:i/>
                <w:noProof/>
                <w:szCs w:val="24"/>
                <w:lang w:val="fr-BE"/>
              </w:rPr>
            </w:pPr>
            <w:r w:rsidRPr="00366F31">
              <w:rPr>
                <w:i/>
                <w:noProof/>
                <w:szCs w:val="24"/>
              </w:rPr>
              <w:t>Affections hématologiques et du système lymphatique</w:t>
            </w:r>
          </w:p>
        </w:tc>
        <w:tc>
          <w:tcPr>
            <w:tcW w:w="1800" w:type="dxa"/>
            <w:tcBorders>
              <w:top w:val="single" w:sz="4" w:space="0" w:color="auto"/>
              <w:left w:val="single" w:sz="4" w:space="0" w:color="auto"/>
              <w:bottom w:val="single" w:sz="4" w:space="0" w:color="auto"/>
              <w:right w:val="single" w:sz="4" w:space="0" w:color="auto"/>
            </w:tcBorders>
            <w:hideMark/>
          </w:tcPr>
          <w:p w14:paraId="6FDBCE3D"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5E83DD4A" w14:textId="77777777" w:rsidR="00E36A30" w:rsidRPr="00366F31" w:rsidRDefault="00E36A30" w:rsidP="00F51A33">
            <w:pPr>
              <w:tabs>
                <w:tab w:val="left" w:pos="-1440"/>
              </w:tabs>
              <w:rPr>
                <w:noProof/>
                <w:szCs w:val="24"/>
                <w:lang w:val="fr-BE"/>
              </w:rPr>
            </w:pPr>
            <w:r w:rsidRPr="00366F31">
              <w:rPr>
                <w:noProof/>
                <w:szCs w:val="24"/>
                <w:lang w:val="fr-BE"/>
              </w:rPr>
              <w:t xml:space="preserve">leukocytose, </w:t>
            </w:r>
            <w:r w:rsidRPr="00366F31">
              <w:rPr>
                <w:noProof/>
                <w:szCs w:val="24"/>
              </w:rPr>
              <w:t>thrombocytopénie en cas de fortes doses</w:t>
            </w:r>
          </w:p>
        </w:tc>
      </w:tr>
      <w:tr w:rsidR="00E36A30" w:rsidRPr="00366F31" w14:paraId="5D4358B7"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74F82B2F" w14:textId="77777777" w:rsidR="00E36A30" w:rsidRPr="00366F31" w:rsidRDefault="00E36A30" w:rsidP="00F51A33">
            <w:pPr>
              <w:tabs>
                <w:tab w:val="left" w:pos="-1440"/>
              </w:tabs>
              <w:ind w:left="227"/>
              <w:rPr>
                <w:i/>
                <w:noProof/>
                <w:szCs w:val="24"/>
                <w:lang w:val="nl-NL"/>
              </w:rPr>
            </w:pPr>
            <w:r w:rsidRPr="00366F31">
              <w:rPr>
                <w:i/>
                <w:noProof/>
                <w:szCs w:val="24"/>
              </w:rPr>
              <w:t>Affections du système immunitaire</w:t>
            </w:r>
          </w:p>
        </w:tc>
        <w:tc>
          <w:tcPr>
            <w:tcW w:w="1800" w:type="dxa"/>
            <w:tcBorders>
              <w:top w:val="single" w:sz="4" w:space="0" w:color="auto"/>
              <w:left w:val="single" w:sz="4" w:space="0" w:color="auto"/>
              <w:bottom w:val="single" w:sz="4" w:space="0" w:color="auto"/>
              <w:right w:val="single" w:sz="4" w:space="0" w:color="auto"/>
            </w:tcBorders>
            <w:hideMark/>
          </w:tcPr>
          <w:p w14:paraId="6F9DA2A2"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0D7504BC" w14:textId="77777777" w:rsidR="00E36A30" w:rsidRPr="00366F31" w:rsidRDefault="00E36A30" w:rsidP="00F51A33">
            <w:pPr>
              <w:tabs>
                <w:tab w:val="left" w:pos="-1440"/>
              </w:tabs>
              <w:rPr>
                <w:noProof/>
                <w:szCs w:val="24"/>
                <w:lang w:val="nl-NL"/>
              </w:rPr>
            </w:pPr>
            <w:r w:rsidRPr="00366F31">
              <w:rPr>
                <w:noProof/>
                <w:szCs w:val="24"/>
              </w:rPr>
              <w:t>choc anaphylactique, réactions anaphylactoïdes</w:t>
            </w:r>
          </w:p>
        </w:tc>
      </w:tr>
      <w:tr w:rsidR="00E36A30" w:rsidRPr="00366F31" w14:paraId="7C3AC391"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7BAF5C10" w14:textId="77777777" w:rsidR="00E36A30" w:rsidRPr="00366F31" w:rsidRDefault="00E36A30" w:rsidP="00F51A33">
            <w:pPr>
              <w:tabs>
                <w:tab w:val="left" w:pos="-1440"/>
              </w:tabs>
              <w:ind w:left="227"/>
              <w:rPr>
                <w:i/>
                <w:noProof/>
                <w:szCs w:val="24"/>
                <w:lang w:val="nl-NL"/>
              </w:rPr>
            </w:pPr>
            <w:r w:rsidRPr="00366F31">
              <w:rPr>
                <w:i/>
                <w:noProof/>
                <w:szCs w:val="24"/>
              </w:rPr>
              <w:t>Affections endocriniennes</w:t>
            </w:r>
          </w:p>
        </w:tc>
        <w:tc>
          <w:tcPr>
            <w:tcW w:w="1800" w:type="dxa"/>
            <w:tcBorders>
              <w:top w:val="single" w:sz="4" w:space="0" w:color="auto"/>
              <w:left w:val="single" w:sz="4" w:space="0" w:color="auto"/>
              <w:bottom w:val="single" w:sz="4" w:space="0" w:color="auto"/>
              <w:right w:val="single" w:sz="4" w:space="0" w:color="auto"/>
            </w:tcBorders>
            <w:hideMark/>
          </w:tcPr>
          <w:p w14:paraId="116BCE1F"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6FCF3BEC" w14:textId="77777777" w:rsidR="00E36A30" w:rsidRPr="00366F31" w:rsidRDefault="00E36A30" w:rsidP="00F51A33">
            <w:pPr>
              <w:tabs>
                <w:tab w:val="left" w:pos="-1440"/>
              </w:tabs>
              <w:rPr>
                <w:noProof/>
                <w:szCs w:val="24"/>
                <w:lang w:val="fr-BE"/>
              </w:rPr>
            </w:pPr>
            <w:r w:rsidRPr="00366F31">
              <w:rPr>
                <w:noProof/>
                <w:szCs w:val="24"/>
              </w:rPr>
              <w:t>irrégularités menstruelles</w:t>
            </w:r>
            <w:r w:rsidRPr="00366F31">
              <w:rPr>
                <w:noProof/>
                <w:szCs w:val="24"/>
                <w:lang w:val="fr-BE"/>
              </w:rPr>
              <w:t xml:space="preserve">, </w:t>
            </w:r>
            <w:r w:rsidRPr="00366F31">
              <w:t xml:space="preserve">aménorrhée, saignements vaginaux chez les femmes ménopausées, </w:t>
            </w:r>
            <w:r w:rsidRPr="00366F31">
              <w:rPr>
                <w:noProof/>
                <w:szCs w:val="24"/>
              </w:rPr>
              <w:t>apparition d’un état cushingoïde</w:t>
            </w:r>
            <w:r w:rsidRPr="00366F31">
              <w:rPr>
                <w:noProof/>
                <w:szCs w:val="24"/>
                <w:lang w:val="fr-BE"/>
              </w:rPr>
              <w:t xml:space="preserve">, </w:t>
            </w:r>
            <w:r w:rsidRPr="00366F31">
              <w:rPr>
                <w:noProof/>
                <w:szCs w:val="24"/>
              </w:rPr>
              <w:t>absence de réponse corticosurrénale et hypophysaire secondaire</w:t>
            </w:r>
            <w:r w:rsidRPr="00366F31">
              <w:rPr>
                <w:noProof/>
                <w:szCs w:val="24"/>
                <w:vertAlign w:val="superscript"/>
                <w:lang w:val="fr-BE"/>
              </w:rPr>
              <w:t>b</w:t>
            </w:r>
          </w:p>
        </w:tc>
      </w:tr>
      <w:tr w:rsidR="00E36A30" w:rsidRPr="00366F31" w14:paraId="0322EFAF" w14:textId="77777777" w:rsidTr="00F51A33">
        <w:tc>
          <w:tcPr>
            <w:tcW w:w="3667" w:type="dxa"/>
            <w:tcBorders>
              <w:top w:val="single" w:sz="4" w:space="0" w:color="auto"/>
              <w:left w:val="single" w:sz="4" w:space="0" w:color="auto"/>
              <w:bottom w:val="single" w:sz="4" w:space="0" w:color="auto"/>
              <w:right w:val="single" w:sz="4" w:space="0" w:color="auto"/>
            </w:tcBorders>
          </w:tcPr>
          <w:p w14:paraId="756D952C"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0800B0CC"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1D8B46AC" w14:textId="77777777" w:rsidR="00E36A30" w:rsidRPr="00366F31" w:rsidRDefault="00E36A30" w:rsidP="00F51A33">
            <w:pPr>
              <w:tabs>
                <w:tab w:val="left" w:pos="-1440"/>
              </w:tabs>
              <w:rPr>
                <w:noProof/>
                <w:szCs w:val="24"/>
                <w:lang w:val="fr-BE"/>
              </w:rPr>
            </w:pPr>
            <w:r w:rsidRPr="00366F31">
              <w:rPr>
                <w:noProof/>
                <w:szCs w:val="24"/>
              </w:rPr>
              <w:t>arrêt de la croissance chez l’enfant</w:t>
            </w:r>
            <w:r w:rsidRPr="00366F31">
              <w:rPr>
                <w:noProof/>
                <w:szCs w:val="24"/>
                <w:lang w:val="fr-BE"/>
              </w:rPr>
              <w:t xml:space="preserve">, </w:t>
            </w:r>
            <w:r w:rsidRPr="00366F31">
              <w:rPr>
                <w:noProof/>
                <w:szCs w:val="24"/>
              </w:rPr>
              <w:t>une hyperthyroïdie secondaire suite à une administration prolongée de corticostéroïdes</w:t>
            </w:r>
            <w:r w:rsidRPr="00366F31">
              <w:rPr>
                <w:noProof/>
                <w:szCs w:val="24"/>
                <w:u w:val="single"/>
                <w:vertAlign w:val="superscript"/>
                <w:lang w:val="fr-BE"/>
              </w:rPr>
              <w:t>c</w:t>
            </w:r>
          </w:p>
        </w:tc>
      </w:tr>
      <w:tr w:rsidR="00E36A30" w:rsidRPr="00366F31" w14:paraId="7313A7B5"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6E51ACB7" w14:textId="77777777" w:rsidR="00E36A30" w:rsidRPr="00366F31" w:rsidRDefault="00E36A30" w:rsidP="00F51A33">
            <w:pPr>
              <w:tabs>
                <w:tab w:val="left" w:pos="-1440"/>
              </w:tabs>
              <w:ind w:left="227"/>
              <w:rPr>
                <w:i/>
                <w:noProof/>
                <w:szCs w:val="24"/>
                <w:lang w:val="fr-BE"/>
              </w:rPr>
            </w:pPr>
            <w:r w:rsidRPr="00366F31">
              <w:rPr>
                <w:i/>
                <w:noProof/>
                <w:szCs w:val="24"/>
              </w:rPr>
              <w:t>Troubles du métabolisme et de la nutrition</w:t>
            </w:r>
          </w:p>
        </w:tc>
        <w:tc>
          <w:tcPr>
            <w:tcW w:w="1800" w:type="dxa"/>
            <w:tcBorders>
              <w:top w:val="single" w:sz="4" w:space="0" w:color="auto"/>
              <w:left w:val="single" w:sz="4" w:space="0" w:color="auto"/>
              <w:bottom w:val="single" w:sz="4" w:space="0" w:color="auto"/>
              <w:right w:val="single" w:sz="4" w:space="0" w:color="auto"/>
            </w:tcBorders>
            <w:hideMark/>
          </w:tcPr>
          <w:p w14:paraId="4E5BE5C3"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368A4F5E" w14:textId="77777777" w:rsidR="00E36A30" w:rsidRPr="00366F31" w:rsidRDefault="00E36A30" w:rsidP="00F51A33">
            <w:pPr>
              <w:tabs>
                <w:tab w:val="left" w:pos="-1440"/>
              </w:tabs>
              <w:rPr>
                <w:noProof/>
                <w:szCs w:val="24"/>
                <w:lang w:val="fr-BE"/>
              </w:rPr>
            </w:pPr>
            <w:r w:rsidRPr="00366F31">
              <w:rPr>
                <w:noProof/>
                <w:szCs w:val="24"/>
              </w:rPr>
              <w:t>hyperglycémie</w:t>
            </w:r>
            <w:r w:rsidRPr="00366F31">
              <w:rPr>
                <w:noProof/>
                <w:szCs w:val="24"/>
                <w:lang w:val="fr-BE"/>
              </w:rPr>
              <w:t xml:space="preserve">, </w:t>
            </w:r>
            <w:r w:rsidRPr="00366F31">
              <w:rPr>
                <w:noProof/>
                <w:szCs w:val="24"/>
              </w:rPr>
              <w:t>rétention sodée</w:t>
            </w:r>
            <w:r w:rsidRPr="00366F31">
              <w:rPr>
                <w:noProof/>
                <w:szCs w:val="24"/>
                <w:lang w:val="fr-BE"/>
              </w:rPr>
              <w:t xml:space="preserve">, </w:t>
            </w:r>
            <w:r w:rsidRPr="00366F31">
              <w:rPr>
                <w:noProof/>
                <w:szCs w:val="24"/>
              </w:rPr>
              <w:t>rétention hydrique</w:t>
            </w:r>
            <w:r w:rsidRPr="00366F31">
              <w:rPr>
                <w:noProof/>
                <w:szCs w:val="24"/>
                <w:vertAlign w:val="superscript"/>
                <w:lang w:val="fr-BE"/>
              </w:rPr>
              <w:t>d</w:t>
            </w:r>
            <w:r w:rsidRPr="00366F31">
              <w:rPr>
                <w:noProof/>
                <w:szCs w:val="24"/>
                <w:lang w:val="fr-BE"/>
              </w:rPr>
              <w:t xml:space="preserve">, </w:t>
            </w:r>
            <w:r w:rsidRPr="00366F31">
              <w:rPr>
                <w:noProof/>
                <w:szCs w:val="24"/>
              </w:rPr>
              <w:t>alcalose hypokaliémique</w:t>
            </w:r>
            <w:r w:rsidRPr="00366F31">
              <w:rPr>
                <w:noProof/>
                <w:szCs w:val="24"/>
                <w:lang w:val="fr-BE"/>
              </w:rPr>
              <w:t xml:space="preserve">, </w:t>
            </w:r>
            <w:r w:rsidRPr="00366F31">
              <w:rPr>
                <w:noProof/>
                <w:szCs w:val="24"/>
              </w:rPr>
              <w:t>manifestations d’un diabète latent, et augmentation des besoins en insuline ou en hypoglycémiants oraux en cas de diabète</w:t>
            </w:r>
          </w:p>
        </w:tc>
      </w:tr>
      <w:tr w:rsidR="00E36A30" w:rsidRPr="00366F31" w14:paraId="1FEB9463" w14:textId="77777777" w:rsidTr="00F51A33">
        <w:tc>
          <w:tcPr>
            <w:tcW w:w="3667" w:type="dxa"/>
            <w:tcBorders>
              <w:top w:val="single" w:sz="4" w:space="0" w:color="auto"/>
              <w:left w:val="single" w:sz="4" w:space="0" w:color="auto"/>
              <w:bottom w:val="single" w:sz="4" w:space="0" w:color="auto"/>
              <w:right w:val="single" w:sz="4" w:space="0" w:color="auto"/>
            </w:tcBorders>
          </w:tcPr>
          <w:p w14:paraId="5415AD6F"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5EAB5DB4"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6F36AF2F" w14:textId="77777777" w:rsidR="00E36A30" w:rsidRPr="00366F31" w:rsidRDefault="00E36A30" w:rsidP="00F51A33">
            <w:pPr>
              <w:tabs>
                <w:tab w:val="left" w:pos="-1440"/>
              </w:tabs>
              <w:rPr>
                <w:noProof/>
                <w:szCs w:val="24"/>
                <w:lang w:val="fr-BE"/>
              </w:rPr>
            </w:pPr>
            <w:r w:rsidRPr="00366F31">
              <w:rPr>
                <w:noProof/>
                <w:szCs w:val="24"/>
              </w:rPr>
              <w:t>hypercholestérolémie (augmentation moyenne de 88 mg/100 ml de la concentration plasmatique), augmentation des lipoprotéines à faible densité, augmentation des taux de triglycérides (augmentation moyenne de 30 mg/100 ml de la concentration plasmatique)</w:t>
            </w:r>
          </w:p>
        </w:tc>
      </w:tr>
      <w:tr w:rsidR="00E36A30" w:rsidRPr="00366F31" w14:paraId="291C5B3C"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2BA86C9D" w14:textId="77777777" w:rsidR="00E36A30" w:rsidRPr="00366F31" w:rsidRDefault="00E36A30" w:rsidP="00F51A33">
            <w:pPr>
              <w:tabs>
                <w:tab w:val="left" w:pos="-1440"/>
              </w:tabs>
              <w:ind w:left="227"/>
              <w:rPr>
                <w:i/>
                <w:noProof/>
                <w:szCs w:val="24"/>
                <w:lang w:val="nl-NL"/>
              </w:rPr>
            </w:pPr>
            <w:r w:rsidRPr="00366F31">
              <w:rPr>
                <w:i/>
                <w:noProof/>
                <w:szCs w:val="24"/>
              </w:rPr>
              <w:lastRenderedPageBreak/>
              <w:t>Affections psychiatriques</w:t>
            </w:r>
          </w:p>
        </w:tc>
        <w:tc>
          <w:tcPr>
            <w:tcW w:w="1800" w:type="dxa"/>
            <w:tcBorders>
              <w:top w:val="single" w:sz="4" w:space="0" w:color="auto"/>
              <w:left w:val="single" w:sz="4" w:space="0" w:color="auto"/>
              <w:bottom w:val="single" w:sz="4" w:space="0" w:color="auto"/>
              <w:right w:val="single" w:sz="4" w:space="0" w:color="auto"/>
            </w:tcBorders>
            <w:hideMark/>
          </w:tcPr>
          <w:p w14:paraId="775B83EC"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0CE0DA1E" w14:textId="77777777" w:rsidR="00E36A30" w:rsidRPr="00366F31" w:rsidRDefault="00E36A30" w:rsidP="00F51A33">
            <w:pPr>
              <w:tabs>
                <w:tab w:val="left" w:pos="-1440"/>
              </w:tabs>
              <w:rPr>
                <w:noProof/>
                <w:szCs w:val="24"/>
                <w:lang w:val="fr-BE"/>
              </w:rPr>
            </w:pPr>
            <w:r w:rsidRPr="00366F31">
              <w:rPr>
                <w:noProof/>
                <w:szCs w:val="24"/>
              </w:rPr>
              <w:t>insomnies</w:t>
            </w:r>
            <w:r w:rsidRPr="00366F31">
              <w:rPr>
                <w:noProof/>
                <w:szCs w:val="24"/>
                <w:lang w:val="fr-BE"/>
              </w:rPr>
              <w:t xml:space="preserve">, </w:t>
            </w:r>
            <w:r w:rsidRPr="00366F31">
              <w:rPr>
                <w:noProof/>
                <w:szCs w:val="24"/>
              </w:rPr>
              <w:t>aggravation d’états psychiatriques pré-existants</w:t>
            </w:r>
            <w:r w:rsidRPr="00366F31">
              <w:rPr>
                <w:noProof/>
                <w:szCs w:val="24"/>
                <w:lang w:val="fr-BE"/>
              </w:rPr>
              <w:t xml:space="preserve">, </w:t>
            </w:r>
            <w:r w:rsidRPr="00366F31">
              <w:rPr>
                <w:noProof/>
                <w:szCs w:val="24"/>
              </w:rPr>
              <w:t>dépression (parfois sévère)</w:t>
            </w:r>
            <w:r w:rsidRPr="00366F31">
              <w:rPr>
                <w:noProof/>
                <w:szCs w:val="24"/>
                <w:lang w:val="fr-BE"/>
              </w:rPr>
              <w:t xml:space="preserve">, euphorie, </w:t>
            </w:r>
            <w:r w:rsidRPr="00366F31">
              <w:rPr>
                <w:noProof/>
                <w:szCs w:val="24"/>
              </w:rPr>
              <w:t>oscillations de l’humeur</w:t>
            </w:r>
            <w:r w:rsidRPr="00366F31">
              <w:rPr>
                <w:noProof/>
                <w:szCs w:val="24"/>
                <w:lang w:val="fr-BE"/>
              </w:rPr>
              <w:t xml:space="preserve">, </w:t>
            </w:r>
            <w:r w:rsidRPr="00366F31">
              <w:rPr>
                <w:noProof/>
                <w:szCs w:val="24"/>
              </w:rPr>
              <w:t>symptômes psychotiques</w:t>
            </w:r>
            <w:r w:rsidRPr="00366F31">
              <w:rPr>
                <w:noProof/>
                <w:szCs w:val="24"/>
                <w:lang w:val="fr-BE"/>
              </w:rPr>
              <w:t xml:space="preserve"> et </w:t>
            </w:r>
            <w:r w:rsidRPr="00366F31">
              <w:rPr>
                <w:noProof/>
                <w:szCs w:val="24"/>
              </w:rPr>
              <w:t>modifications de la personnalité</w:t>
            </w:r>
          </w:p>
        </w:tc>
      </w:tr>
      <w:tr w:rsidR="00E36A30" w:rsidRPr="00366F31" w14:paraId="303E3E0F"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3FE4D853" w14:textId="77777777" w:rsidR="00E36A30" w:rsidRPr="00366F31" w:rsidRDefault="00E36A30" w:rsidP="00F51A33">
            <w:pPr>
              <w:tabs>
                <w:tab w:val="left" w:pos="-1440"/>
              </w:tabs>
              <w:ind w:left="227"/>
              <w:rPr>
                <w:i/>
                <w:noProof/>
                <w:szCs w:val="24"/>
                <w:lang w:val="nl-NL"/>
              </w:rPr>
            </w:pPr>
            <w:r w:rsidRPr="00366F31">
              <w:rPr>
                <w:i/>
                <w:noProof/>
                <w:szCs w:val="24"/>
              </w:rPr>
              <w:t>Affections du système nerveux</w:t>
            </w:r>
          </w:p>
        </w:tc>
        <w:tc>
          <w:tcPr>
            <w:tcW w:w="1800" w:type="dxa"/>
            <w:tcBorders>
              <w:top w:val="single" w:sz="4" w:space="0" w:color="auto"/>
              <w:left w:val="single" w:sz="4" w:space="0" w:color="auto"/>
              <w:bottom w:val="single" w:sz="4" w:space="0" w:color="auto"/>
              <w:right w:val="single" w:sz="4" w:space="0" w:color="auto"/>
            </w:tcBorders>
            <w:hideMark/>
          </w:tcPr>
          <w:p w14:paraId="494BC596" w14:textId="77777777" w:rsidR="00E36A30" w:rsidRPr="00366F31" w:rsidRDefault="00E36A30" w:rsidP="00F51A33">
            <w:pPr>
              <w:tabs>
                <w:tab w:val="left" w:pos="-1440"/>
              </w:tabs>
              <w:jc w:val="both"/>
              <w:rPr>
                <w:noProof/>
                <w:szCs w:val="24"/>
                <w:lang w:val="nl-NL"/>
              </w:rPr>
            </w:pPr>
            <w:r w:rsidRPr="00366F31">
              <w:rPr>
                <w:noProof/>
                <w:szCs w:val="24"/>
                <w:lang w:val="fr-BE"/>
              </w:rPr>
              <w:t>Fréquent</w:t>
            </w:r>
          </w:p>
        </w:tc>
        <w:tc>
          <w:tcPr>
            <w:tcW w:w="3150" w:type="dxa"/>
            <w:tcBorders>
              <w:top w:val="single" w:sz="4" w:space="0" w:color="auto"/>
              <w:left w:val="single" w:sz="4" w:space="0" w:color="auto"/>
              <w:bottom w:val="single" w:sz="4" w:space="0" w:color="auto"/>
              <w:right w:val="single" w:sz="4" w:space="0" w:color="auto"/>
            </w:tcBorders>
            <w:hideMark/>
          </w:tcPr>
          <w:p w14:paraId="7AE7F8BC" w14:textId="77777777" w:rsidR="00E36A30" w:rsidRPr="00366F31" w:rsidRDefault="00E36A30" w:rsidP="00F51A33">
            <w:pPr>
              <w:tabs>
                <w:tab w:val="left" w:pos="-1440"/>
              </w:tabs>
              <w:rPr>
                <w:noProof/>
                <w:szCs w:val="24"/>
                <w:lang w:val="nl-NL"/>
              </w:rPr>
            </w:pPr>
            <w:r w:rsidRPr="00366F31">
              <w:rPr>
                <w:noProof/>
                <w:szCs w:val="24"/>
              </w:rPr>
              <w:t>céphalées</w:t>
            </w:r>
          </w:p>
        </w:tc>
      </w:tr>
      <w:tr w:rsidR="00E36A30" w:rsidRPr="00366F31" w14:paraId="29FDB1AB" w14:textId="77777777" w:rsidTr="00F51A33">
        <w:tc>
          <w:tcPr>
            <w:tcW w:w="3667" w:type="dxa"/>
            <w:tcBorders>
              <w:top w:val="single" w:sz="4" w:space="0" w:color="auto"/>
              <w:left w:val="single" w:sz="4" w:space="0" w:color="auto"/>
              <w:bottom w:val="single" w:sz="4" w:space="0" w:color="auto"/>
              <w:right w:val="single" w:sz="4" w:space="0" w:color="auto"/>
            </w:tcBorders>
          </w:tcPr>
          <w:p w14:paraId="5EDF7F5E" w14:textId="77777777" w:rsidR="00E36A30" w:rsidRPr="00366F31" w:rsidRDefault="00E36A30">
            <w:pPr>
              <w:tabs>
                <w:tab w:val="left" w:pos="-1440"/>
              </w:tabs>
              <w:ind w:left="709"/>
              <w:rPr>
                <w:i/>
                <w:noProof/>
                <w:szCs w:val="24"/>
                <w:lang w:val="nl-NL"/>
              </w:rPr>
            </w:pPr>
          </w:p>
        </w:tc>
        <w:tc>
          <w:tcPr>
            <w:tcW w:w="1800" w:type="dxa"/>
            <w:tcBorders>
              <w:top w:val="single" w:sz="4" w:space="0" w:color="auto"/>
              <w:left w:val="single" w:sz="4" w:space="0" w:color="auto"/>
              <w:bottom w:val="single" w:sz="4" w:space="0" w:color="auto"/>
              <w:right w:val="single" w:sz="4" w:space="0" w:color="auto"/>
            </w:tcBorders>
            <w:hideMark/>
          </w:tcPr>
          <w:p w14:paraId="3F2622A6"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350C0A8E" w14:textId="77777777" w:rsidR="00E36A30" w:rsidRPr="00366F31" w:rsidRDefault="00E36A30" w:rsidP="00F51A33">
            <w:pPr>
              <w:tabs>
                <w:tab w:val="left" w:pos="-1440"/>
              </w:tabs>
              <w:rPr>
                <w:noProof/>
                <w:szCs w:val="24"/>
                <w:lang w:val="fr-BE"/>
              </w:rPr>
            </w:pPr>
            <w:r w:rsidRPr="00366F31">
              <w:rPr>
                <w:noProof/>
                <w:szCs w:val="24"/>
                <w:lang w:val="fr-BE"/>
              </w:rPr>
              <w:t>syncope,</w:t>
            </w:r>
            <w:r w:rsidRPr="00366F31">
              <w:rPr>
                <w:noProof/>
                <w:szCs w:val="24"/>
              </w:rPr>
              <w:t xml:space="preserve"> convulsions, augmentation de la pression intracrânienne avec oedème papillaire (pseudo-tumeur cérébrale)</w:t>
            </w:r>
            <w:r w:rsidRPr="00366F31">
              <w:rPr>
                <w:noProof/>
                <w:szCs w:val="24"/>
                <w:vertAlign w:val="superscript"/>
                <w:lang w:val="fr-BE"/>
              </w:rPr>
              <w:t>e</w:t>
            </w:r>
            <w:r w:rsidRPr="00366F31">
              <w:rPr>
                <w:noProof/>
                <w:szCs w:val="24"/>
                <w:lang w:val="fr-BE"/>
              </w:rPr>
              <w:t xml:space="preserve">, </w:t>
            </w:r>
            <w:r w:rsidRPr="00366F31">
              <w:rPr>
                <w:noProof/>
                <w:szCs w:val="24"/>
              </w:rPr>
              <w:t>névrite</w:t>
            </w:r>
            <w:r w:rsidRPr="00366F31">
              <w:rPr>
                <w:noProof/>
                <w:szCs w:val="24"/>
                <w:lang w:val="fr-BE"/>
              </w:rPr>
              <w:t xml:space="preserve">, </w:t>
            </w:r>
            <w:r w:rsidRPr="00366F31">
              <w:rPr>
                <w:noProof/>
                <w:szCs w:val="24"/>
              </w:rPr>
              <w:t>paresthésies</w:t>
            </w:r>
          </w:p>
        </w:tc>
      </w:tr>
      <w:tr w:rsidR="00E36A30" w:rsidRPr="00366F31" w14:paraId="3B5A534F" w14:textId="77777777" w:rsidTr="00F51A33">
        <w:tc>
          <w:tcPr>
            <w:tcW w:w="3667" w:type="dxa"/>
            <w:tcBorders>
              <w:top w:val="single" w:sz="4" w:space="0" w:color="auto"/>
              <w:left w:val="single" w:sz="4" w:space="0" w:color="auto"/>
              <w:bottom w:val="single" w:sz="4" w:space="0" w:color="auto"/>
              <w:right w:val="single" w:sz="4" w:space="0" w:color="auto"/>
            </w:tcBorders>
          </w:tcPr>
          <w:p w14:paraId="0495BCEC"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7F7D6E5D"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09FFF4AD" w14:textId="77777777" w:rsidR="00E36A30" w:rsidRPr="00366F31" w:rsidRDefault="00E36A30" w:rsidP="00F51A33">
            <w:pPr>
              <w:tabs>
                <w:tab w:val="left" w:pos="-1440"/>
              </w:tabs>
              <w:rPr>
                <w:noProof/>
                <w:szCs w:val="24"/>
                <w:lang w:val="nl-NL"/>
              </w:rPr>
            </w:pPr>
            <w:r w:rsidRPr="00366F31">
              <w:rPr>
                <w:noProof/>
                <w:szCs w:val="24"/>
                <w:lang w:val="nl-NL"/>
              </w:rPr>
              <w:t>vertige</w:t>
            </w:r>
          </w:p>
        </w:tc>
      </w:tr>
      <w:tr w:rsidR="00E36A30" w:rsidRPr="00366F31" w14:paraId="100BBD43"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133ADBF6" w14:textId="77777777" w:rsidR="00E36A30" w:rsidRPr="00366F31" w:rsidRDefault="00E36A30" w:rsidP="00F51A33">
            <w:pPr>
              <w:tabs>
                <w:tab w:val="left" w:pos="-1440"/>
              </w:tabs>
              <w:ind w:left="227"/>
              <w:rPr>
                <w:i/>
                <w:noProof/>
                <w:szCs w:val="24"/>
                <w:lang w:val="nl-NL"/>
              </w:rPr>
            </w:pPr>
            <w:r w:rsidRPr="00366F31">
              <w:rPr>
                <w:i/>
                <w:noProof/>
                <w:szCs w:val="24"/>
              </w:rPr>
              <w:t>Affections oculaires</w:t>
            </w:r>
          </w:p>
        </w:tc>
        <w:tc>
          <w:tcPr>
            <w:tcW w:w="1800" w:type="dxa"/>
            <w:tcBorders>
              <w:top w:val="single" w:sz="4" w:space="0" w:color="auto"/>
              <w:left w:val="single" w:sz="4" w:space="0" w:color="auto"/>
              <w:bottom w:val="single" w:sz="4" w:space="0" w:color="auto"/>
              <w:right w:val="single" w:sz="4" w:space="0" w:color="auto"/>
            </w:tcBorders>
            <w:hideMark/>
          </w:tcPr>
          <w:p w14:paraId="5415332C" w14:textId="77777777" w:rsidR="00E36A30" w:rsidRPr="00366F31" w:rsidRDefault="00E36A30" w:rsidP="00F51A33">
            <w:pPr>
              <w:tabs>
                <w:tab w:val="left" w:pos="-1440"/>
              </w:tabs>
              <w:jc w:val="both"/>
              <w:rPr>
                <w:noProof/>
                <w:szCs w:val="24"/>
                <w:lang w:val="nl-NL"/>
              </w:rPr>
            </w:pPr>
            <w:r w:rsidRPr="00366F31">
              <w:rPr>
                <w:noProof/>
                <w:szCs w:val="24"/>
                <w:lang w:val="fr-BE"/>
              </w:rPr>
              <w:t>Fréquent</w:t>
            </w:r>
          </w:p>
        </w:tc>
        <w:tc>
          <w:tcPr>
            <w:tcW w:w="3150" w:type="dxa"/>
            <w:tcBorders>
              <w:top w:val="single" w:sz="4" w:space="0" w:color="auto"/>
              <w:left w:val="single" w:sz="4" w:space="0" w:color="auto"/>
              <w:bottom w:val="single" w:sz="4" w:space="0" w:color="auto"/>
              <w:right w:val="single" w:sz="4" w:space="0" w:color="auto"/>
            </w:tcBorders>
            <w:hideMark/>
          </w:tcPr>
          <w:p w14:paraId="4C5911C6" w14:textId="77777777" w:rsidR="00E36A30" w:rsidRPr="00366F31" w:rsidRDefault="00E36A30" w:rsidP="00F51A33">
            <w:pPr>
              <w:tabs>
                <w:tab w:val="left" w:pos="-1440"/>
              </w:tabs>
              <w:rPr>
                <w:noProof/>
                <w:szCs w:val="24"/>
                <w:lang w:val="nl-NL"/>
              </w:rPr>
            </w:pPr>
            <w:r w:rsidRPr="00366F31">
              <w:rPr>
                <w:noProof/>
                <w:szCs w:val="24"/>
                <w:lang w:val="fr-BE"/>
              </w:rPr>
              <w:t>cataracte sous-capsulaire postérieure</w:t>
            </w:r>
          </w:p>
        </w:tc>
      </w:tr>
      <w:tr w:rsidR="00E36A30" w:rsidRPr="00366F31" w14:paraId="41E44C30"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tcPr>
          <w:p w14:paraId="2D686F22" w14:textId="77777777" w:rsidR="00E36A30" w:rsidRPr="00366F31" w:rsidRDefault="00E36A30">
            <w:pPr>
              <w:tabs>
                <w:tab w:val="left" w:pos="-1440"/>
              </w:tabs>
              <w:ind w:left="709"/>
              <w:rPr>
                <w:i/>
                <w:noProof/>
                <w:szCs w:val="24"/>
                <w:lang w:val="nl-NL"/>
              </w:rPr>
            </w:pPr>
          </w:p>
        </w:tc>
        <w:tc>
          <w:tcPr>
            <w:tcW w:w="1800" w:type="dxa"/>
            <w:tcBorders>
              <w:top w:val="single" w:sz="4" w:space="0" w:color="auto"/>
              <w:left w:val="single" w:sz="4" w:space="0" w:color="auto"/>
              <w:bottom w:val="single" w:sz="4" w:space="0" w:color="auto"/>
              <w:right w:val="single" w:sz="4" w:space="0" w:color="auto"/>
            </w:tcBorders>
            <w:hideMark/>
          </w:tcPr>
          <w:p w14:paraId="1A7C433F"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2C2C7DD6" w14:textId="23CA5786" w:rsidR="00E36A30" w:rsidRPr="00366F31" w:rsidRDefault="00E36A30" w:rsidP="00F51A33">
            <w:pPr>
              <w:tabs>
                <w:tab w:val="left" w:pos="-1440"/>
              </w:tabs>
              <w:rPr>
                <w:noProof/>
                <w:szCs w:val="24"/>
                <w:lang w:val="fr-BE"/>
              </w:rPr>
            </w:pPr>
            <w:r w:rsidRPr="00366F31">
              <w:rPr>
                <w:noProof/>
                <w:szCs w:val="24"/>
                <w:lang w:val="fr-BE"/>
              </w:rPr>
              <w:t>glaucome avec possibilité de lésion au nerf optique, exophtalmie, perforation de la cornée</w:t>
            </w:r>
          </w:p>
        </w:tc>
      </w:tr>
      <w:tr w:rsidR="00E36A30" w:rsidRPr="00366F31" w14:paraId="3889F5E3" w14:textId="77777777" w:rsidTr="00F51A33">
        <w:tc>
          <w:tcPr>
            <w:tcW w:w="3667" w:type="dxa"/>
            <w:tcBorders>
              <w:top w:val="single" w:sz="4" w:space="0" w:color="auto"/>
              <w:left w:val="single" w:sz="4" w:space="0" w:color="auto"/>
              <w:bottom w:val="single" w:sz="4" w:space="0" w:color="auto"/>
              <w:right w:val="single" w:sz="4" w:space="0" w:color="auto"/>
            </w:tcBorders>
          </w:tcPr>
          <w:p w14:paraId="6E4BB848"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69E9A31B"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432333E0" w14:textId="77777777" w:rsidR="00E36A30" w:rsidRPr="00366F31" w:rsidRDefault="00E36A30" w:rsidP="00F51A33">
            <w:pPr>
              <w:tabs>
                <w:tab w:val="left" w:pos="-1440"/>
              </w:tabs>
              <w:rPr>
                <w:noProof/>
                <w:szCs w:val="24"/>
                <w:lang w:val="fr-BE"/>
              </w:rPr>
            </w:pPr>
            <w:r w:rsidRPr="00366F31">
              <w:rPr>
                <w:noProof/>
                <w:szCs w:val="24"/>
              </w:rPr>
              <w:t>augmentation du risque d'infections oculaires secondaires provoquées par des champignons ou des virus</w:t>
            </w:r>
            <w:r w:rsidR="000B2C48">
              <w:rPr>
                <w:noProof/>
                <w:szCs w:val="24"/>
              </w:rPr>
              <w:t>, vision floue (voir rubrique 4.4)</w:t>
            </w:r>
          </w:p>
        </w:tc>
      </w:tr>
      <w:tr w:rsidR="00E36A30" w:rsidRPr="00366F31" w14:paraId="189067C2"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1FAAD351" w14:textId="77777777" w:rsidR="00E36A30" w:rsidRPr="00366F31" w:rsidRDefault="00E36A30" w:rsidP="00F51A33">
            <w:pPr>
              <w:tabs>
                <w:tab w:val="left" w:pos="-1440"/>
              </w:tabs>
              <w:ind w:left="227"/>
              <w:rPr>
                <w:i/>
                <w:noProof/>
                <w:szCs w:val="24"/>
                <w:lang w:val="nl-NL"/>
              </w:rPr>
            </w:pPr>
            <w:r w:rsidRPr="00366F31">
              <w:rPr>
                <w:i/>
                <w:noProof/>
                <w:szCs w:val="24"/>
              </w:rPr>
              <w:t>Affections cardiaques</w:t>
            </w:r>
          </w:p>
        </w:tc>
        <w:tc>
          <w:tcPr>
            <w:tcW w:w="1800" w:type="dxa"/>
            <w:tcBorders>
              <w:top w:val="single" w:sz="4" w:space="0" w:color="auto"/>
              <w:left w:val="single" w:sz="4" w:space="0" w:color="auto"/>
              <w:bottom w:val="single" w:sz="4" w:space="0" w:color="auto"/>
              <w:right w:val="single" w:sz="4" w:space="0" w:color="auto"/>
            </w:tcBorders>
            <w:hideMark/>
          </w:tcPr>
          <w:p w14:paraId="777999B2"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0F0A489D" w14:textId="77777777" w:rsidR="00E36A30" w:rsidRPr="00366F31" w:rsidRDefault="00E36A30" w:rsidP="00F51A33">
            <w:pPr>
              <w:tabs>
                <w:tab w:val="left" w:pos="-1440"/>
              </w:tabs>
              <w:rPr>
                <w:noProof/>
                <w:szCs w:val="24"/>
                <w:lang w:val="nl-NL"/>
              </w:rPr>
            </w:pPr>
            <w:r w:rsidRPr="00366F31">
              <w:rPr>
                <w:noProof/>
                <w:szCs w:val="24"/>
              </w:rPr>
              <w:t>arythmies</w:t>
            </w:r>
          </w:p>
        </w:tc>
      </w:tr>
      <w:tr w:rsidR="00E36A30" w:rsidRPr="00366F31" w14:paraId="6FB5346B"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tcPr>
          <w:p w14:paraId="76E94435" w14:textId="77777777" w:rsidR="00E36A30" w:rsidRPr="00366F31" w:rsidRDefault="00E36A30">
            <w:pPr>
              <w:tabs>
                <w:tab w:val="left" w:pos="-1440"/>
              </w:tabs>
              <w:ind w:left="709"/>
              <w:rPr>
                <w:i/>
                <w:noProof/>
                <w:szCs w:val="24"/>
                <w:lang w:val="nl-NL"/>
              </w:rPr>
            </w:pPr>
          </w:p>
        </w:tc>
        <w:tc>
          <w:tcPr>
            <w:tcW w:w="1800" w:type="dxa"/>
            <w:tcBorders>
              <w:top w:val="single" w:sz="4" w:space="0" w:color="auto"/>
              <w:left w:val="single" w:sz="4" w:space="0" w:color="auto"/>
              <w:bottom w:val="single" w:sz="4" w:space="0" w:color="auto"/>
              <w:right w:val="single" w:sz="4" w:space="0" w:color="auto"/>
            </w:tcBorders>
            <w:hideMark/>
          </w:tcPr>
          <w:p w14:paraId="6DEA9113"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5ACC6E6D" w14:textId="77777777" w:rsidR="00E36A30" w:rsidRPr="00366F31" w:rsidRDefault="00E36A30" w:rsidP="00F51A33">
            <w:pPr>
              <w:tabs>
                <w:tab w:val="left" w:pos="-1440"/>
              </w:tabs>
              <w:rPr>
                <w:noProof/>
                <w:szCs w:val="24"/>
                <w:lang w:val="nl-NL"/>
              </w:rPr>
            </w:pPr>
            <w:r w:rsidRPr="00366F31">
              <w:rPr>
                <w:noProof/>
                <w:szCs w:val="24"/>
                <w:lang w:val="fr-BE"/>
              </w:rPr>
              <w:t>décompensation cardiaque</w:t>
            </w:r>
            <w:r w:rsidRPr="00366F31">
              <w:rPr>
                <w:noProof/>
                <w:szCs w:val="24"/>
                <w:lang w:val="nl-NL"/>
              </w:rPr>
              <w:t xml:space="preserve">, </w:t>
            </w:r>
            <w:r w:rsidRPr="00366F31">
              <w:rPr>
                <w:noProof/>
                <w:szCs w:val="24"/>
                <w:lang w:val="fr-BE"/>
              </w:rPr>
              <w:t>palpitations</w:t>
            </w:r>
          </w:p>
        </w:tc>
      </w:tr>
      <w:tr w:rsidR="00E36A30" w:rsidRPr="00366F31" w14:paraId="257D04B8"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hideMark/>
          </w:tcPr>
          <w:p w14:paraId="15A8F17F" w14:textId="77777777" w:rsidR="00E36A30" w:rsidRPr="00366F31" w:rsidRDefault="00E36A30" w:rsidP="00F51A33">
            <w:pPr>
              <w:tabs>
                <w:tab w:val="left" w:pos="-1440"/>
              </w:tabs>
              <w:ind w:left="227"/>
              <w:rPr>
                <w:i/>
                <w:noProof/>
                <w:szCs w:val="24"/>
                <w:lang w:val="nl-NL"/>
              </w:rPr>
            </w:pPr>
            <w:r w:rsidRPr="00366F31">
              <w:rPr>
                <w:i/>
                <w:noProof/>
                <w:szCs w:val="24"/>
              </w:rPr>
              <w:t>Affections vasculaires</w:t>
            </w:r>
          </w:p>
        </w:tc>
        <w:tc>
          <w:tcPr>
            <w:tcW w:w="1800" w:type="dxa"/>
            <w:tcBorders>
              <w:top w:val="single" w:sz="4" w:space="0" w:color="auto"/>
              <w:left w:val="single" w:sz="4" w:space="0" w:color="auto"/>
              <w:bottom w:val="single" w:sz="4" w:space="0" w:color="auto"/>
              <w:right w:val="single" w:sz="4" w:space="0" w:color="auto"/>
            </w:tcBorders>
            <w:hideMark/>
          </w:tcPr>
          <w:p w14:paraId="0D455C19"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38EADF15" w14:textId="77777777" w:rsidR="00E36A30" w:rsidRPr="00366F31" w:rsidRDefault="00E36A30" w:rsidP="00F51A33">
            <w:pPr>
              <w:tabs>
                <w:tab w:val="left" w:pos="-1440"/>
              </w:tabs>
              <w:rPr>
                <w:noProof/>
                <w:szCs w:val="24"/>
                <w:lang w:val="fr-BE"/>
              </w:rPr>
            </w:pPr>
            <w:r w:rsidRPr="00366F31">
              <w:rPr>
                <w:noProof/>
                <w:szCs w:val="24"/>
                <w:lang w:val="fr-BE"/>
              </w:rPr>
              <w:t>hypertension, angéite nécrosante, thrombo-embolie, thrombophlébite</w:t>
            </w:r>
          </w:p>
        </w:tc>
      </w:tr>
      <w:tr w:rsidR="00E36A30" w:rsidRPr="00366F31" w14:paraId="193AD7BD"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tcPr>
          <w:p w14:paraId="482AC363"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2B967DD0"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47656E07" w14:textId="77777777" w:rsidR="00E36A30" w:rsidRPr="00366F31" w:rsidRDefault="00E36A30" w:rsidP="00F51A33">
            <w:pPr>
              <w:tabs>
                <w:tab w:val="left" w:pos="-1440"/>
              </w:tabs>
              <w:rPr>
                <w:noProof/>
                <w:szCs w:val="24"/>
                <w:lang w:val="nl-NL"/>
              </w:rPr>
            </w:pPr>
            <w:r w:rsidRPr="00366F31">
              <w:rPr>
                <w:noProof/>
                <w:szCs w:val="24"/>
                <w:lang w:val="fr-BE"/>
              </w:rPr>
              <w:t>athérosclérose, thrombose</w:t>
            </w:r>
          </w:p>
        </w:tc>
      </w:tr>
      <w:tr w:rsidR="00E36A30" w:rsidRPr="00366F31" w14:paraId="3A598B4B"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hideMark/>
          </w:tcPr>
          <w:p w14:paraId="0173354C" w14:textId="77777777" w:rsidR="00E36A30" w:rsidRPr="00366F31" w:rsidRDefault="00E36A30" w:rsidP="00F51A33">
            <w:pPr>
              <w:tabs>
                <w:tab w:val="left" w:pos="-1440"/>
              </w:tabs>
              <w:ind w:left="227"/>
              <w:rPr>
                <w:i/>
                <w:noProof/>
                <w:szCs w:val="24"/>
                <w:lang w:val="fr-BE"/>
              </w:rPr>
            </w:pPr>
            <w:r w:rsidRPr="00366F31">
              <w:rPr>
                <w:i/>
                <w:noProof/>
                <w:szCs w:val="24"/>
              </w:rPr>
              <w:t>Affections respiratoires, thoraciques et médiastinales</w:t>
            </w:r>
          </w:p>
        </w:tc>
        <w:tc>
          <w:tcPr>
            <w:tcW w:w="1800" w:type="dxa"/>
            <w:tcBorders>
              <w:top w:val="single" w:sz="4" w:space="0" w:color="auto"/>
              <w:left w:val="single" w:sz="4" w:space="0" w:color="auto"/>
              <w:bottom w:val="single" w:sz="4" w:space="0" w:color="auto"/>
              <w:right w:val="single" w:sz="4" w:space="0" w:color="auto"/>
            </w:tcBorders>
            <w:hideMark/>
          </w:tcPr>
          <w:p w14:paraId="3BD04A99"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40CAACF2" w14:textId="77777777" w:rsidR="00E36A30" w:rsidRPr="00366F31" w:rsidRDefault="00E36A30" w:rsidP="00F51A33">
            <w:pPr>
              <w:tabs>
                <w:tab w:val="left" w:pos="-1440"/>
              </w:tabs>
              <w:rPr>
                <w:noProof/>
                <w:szCs w:val="24"/>
                <w:lang w:val="nl-NL"/>
              </w:rPr>
            </w:pPr>
            <w:r w:rsidRPr="00366F31">
              <w:rPr>
                <w:noProof/>
                <w:szCs w:val="24"/>
                <w:lang w:val="fr-BE"/>
              </w:rPr>
              <w:t>enrouement, respiration sifflante, toux</w:t>
            </w:r>
          </w:p>
        </w:tc>
      </w:tr>
      <w:tr w:rsidR="00E36A30" w:rsidRPr="00366F31" w14:paraId="01B51E0D"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hideMark/>
          </w:tcPr>
          <w:p w14:paraId="18418BBF" w14:textId="77777777" w:rsidR="00E36A30" w:rsidRPr="00366F31" w:rsidRDefault="00E36A30" w:rsidP="00F51A33">
            <w:pPr>
              <w:tabs>
                <w:tab w:val="left" w:pos="-1440"/>
              </w:tabs>
              <w:ind w:left="227"/>
              <w:rPr>
                <w:i/>
                <w:noProof/>
                <w:szCs w:val="24"/>
                <w:lang w:val="nl-NL"/>
              </w:rPr>
            </w:pPr>
            <w:r w:rsidRPr="00366F31">
              <w:rPr>
                <w:i/>
                <w:noProof/>
                <w:szCs w:val="24"/>
              </w:rPr>
              <w:t>Affections gastro-intestinales</w:t>
            </w:r>
          </w:p>
        </w:tc>
        <w:tc>
          <w:tcPr>
            <w:tcW w:w="1800" w:type="dxa"/>
            <w:tcBorders>
              <w:top w:val="single" w:sz="4" w:space="0" w:color="auto"/>
              <w:left w:val="single" w:sz="4" w:space="0" w:color="auto"/>
              <w:bottom w:val="single" w:sz="4" w:space="0" w:color="auto"/>
              <w:right w:val="single" w:sz="4" w:space="0" w:color="auto"/>
            </w:tcBorders>
            <w:hideMark/>
          </w:tcPr>
          <w:p w14:paraId="259AED83"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43968D3C" w14:textId="77777777" w:rsidR="00E36A30" w:rsidRPr="00366F31" w:rsidRDefault="00E36A30" w:rsidP="00F51A33">
            <w:pPr>
              <w:tabs>
                <w:tab w:val="left" w:pos="-1440"/>
              </w:tabs>
              <w:rPr>
                <w:noProof/>
                <w:szCs w:val="24"/>
                <w:lang w:val="fr-BE"/>
              </w:rPr>
            </w:pPr>
            <w:r w:rsidRPr="00366F31">
              <w:rPr>
                <w:noProof/>
                <w:szCs w:val="24"/>
                <w:lang w:val="fr-BE"/>
              </w:rPr>
              <w:t>ulcère peptique éventuellement suivi de perforation et d’hémorragie, pancréatite, distension abdominale, oesophagite ulcéreuse</w:t>
            </w:r>
          </w:p>
        </w:tc>
      </w:tr>
      <w:tr w:rsidR="00E36A30" w:rsidRPr="00366F31" w14:paraId="32A1881F" w14:textId="77777777" w:rsidTr="00F51A33">
        <w:trPr>
          <w:trHeight w:val="390"/>
        </w:trPr>
        <w:tc>
          <w:tcPr>
            <w:tcW w:w="3667" w:type="dxa"/>
            <w:tcBorders>
              <w:top w:val="single" w:sz="4" w:space="0" w:color="auto"/>
              <w:left w:val="single" w:sz="4" w:space="0" w:color="auto"/>
              <w:bottom w:val="single" w:sz="4" w:space="0" w:color="auto"/>
              <w:right w:val="single" w:sz="4" w:space="0" w:color="auto"/>
            </w:tcBorders>
          </w:tcPr>
          <w:p w14:paraId="1C4E97BD"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0E1FFE4A"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7C6B1214" w14:textId="77777777" w:rsidR="00E36A30" w:rsidRPr="00366F31" w:rsidRDefault="00E36A30" w:rsidP="00F51A33">
            <w:pPr>
              <w:tabs>
                <w:tab w:val="left" w:pos="-1440"/>
              </w:tabs>
              <w:rPr>
                <w:noProof/>
                <w:szCs w:val="24"/>
                <w:lang w:val="fr-BE"/>
              </w:rPr>
            </w:pPr>
            <w:r w:rsidRPr="00366F31">
              <w:rPr>
                <w:noProof/>
                <w:szCs w:val="24"/>
                <w:lang w:val="fr-BE"/>
              </w:rPr>
              <w:t>nausées, vomissements et anorexie (perte de poids), augmentation de l’appétit (gain de poids)</w:t>
            </w:r>
          </w:p>
        </w:tc>
      </w:tr>
      <w:tr w:rsidR="00E36A30" w:rsidRPr="00366F31" w14:paraId="2B81FD3B" w14:textId="77777777" w:rsidTr="00F51A33">
        <w:trPr>
          <w:trHeight w:val="360"/>
        </w:trPr>
        <w:tc>
          <w:tcPr>
            <w:tcW w:w="3667" w:type="dxa"/>
            <w:tcBorders>
              <w:top w:val="single" w:sz="4" w:space="0" w:color="auto"/>
              <w:left w:val="single" w:sz="4" w:space="0" w:color="auto"/>
              <w:bottom w:val="single" w:sz="4" w:space="0" w:color="auto"/>
              <w:right w:val="single" w:sz="4" w:space="0" w:color="auto"/>
            </w:tcBorders>
            <w:hideMark/>
          </w:tcPr>
          <w:p w14:paraId="79EFD4AA" w14:textId="77777777" w:rsidR="00E36A30" w:rsidRPr="00366F31" w:rsidRDefault="00E36A30" w:rsidP="00F51A33">
            <w:pPr>
              <w:tabs>
                <w:tab w:val="left" w:pos="-1440"/>
              </w:tabs>
              <w:ind w:left="227"/>
              <w:rPr>
                <w:i/>
                <w:noProof/>
                <w:szCs w:val="24"/>
                <w:lang w:val="fr-BE"/>
              </w:rPr>
            </w:pPr>
            <w:r w:rsidRPr="00366F31">
              <w:rPr>
                <w:i/>
                <w:noProof/>
                <w:szCs w:val="24"/>
              </w:rPr>
              <w:t>Affections de la peau et du tissus sous-cutané</w:t>
            </w:r>
          </w:p>
        </w:tc>
        <w:tc>
          <w:tcPr>
            <w:tcW w:w="1800" w:type="dxa"/>
            <w:tcBorders>
              <w:top w:val="single" w:sz="4" w:space="0" w:color="auto"/>
              <w:left w:val="single" w:sz="4" w:space="0" w:color="auto"/>
              <w:bottom w:val="single" w:sz="4" w:space="0" w:color="auto"/>
              <w:right w:val="single" w:sz="4" w:space="0" w:color="auto"/>
            </w:tcBorders>
            <w:hideMark/>
          </w:tcPr>
          <w:p w14:paraId="00BE81EF"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278B7130" w14:textId="77777777" w:rsidR="00E36A30" w:rsidRPr="00366F31" w:rsidRDefault="00E36A30" w:rsidP="00F51A33">
            <w:pPr>
              <w:tabs>
                <w:tab w:val="left" w:pos="-1440"/>
              </w:tabs>
              <w:rPr>
                <w:noProof/>
                <w:szCs w:val="24"/>
                <w:lang w:val="fr-BE"/>
              </w:rPr>
            </w:pPr>
            <w:r w:rsidRPr="00366F31">
              <w:rPr>
                <w:noProof/>
                <w:szCs w:val="24"/>
                <w:lang w:val="fr-BE"/>
              </w:rPr>
              <w:t xml:space="preserve">fragilité et amincissement de la peau, pétéchies et ecchymoses, érythème facial, </w:t>
            </w:r>
            <w:r w:rsidRPr="00366F31">
              <w:rPr>
                <w:noProof/>
                <w:szCs w:val="24"/>
                <w:lang w:val="fr-BE"/>
              </w:rPr>
              <w:lastRenderedPageBreak/>
              <w:t>sudation accrue, purpura, vergétures, hirsutisme, éruptions acnéiformes, lésions de type lupus érythémateux, urticaire, rash</w:t>
            </w:r>
          </w:p>
        </w:tc>
      </w:tr>
      <w:tr w:rsidR="00E36A30" w:rsidRPr="00366F31" w14:paraId="33211495"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34DC87A7" w14:textId="77777777" w:rsidR="00E36A30" w:rsidRPr="00366F31" w:rsidRDefault="00E36A30" w:rsidP="00F51A33">
            <w:pPr>
              <w:tabs>
                <w:tab w:val="left" w:pos="-1440"/>
              </w:tabs>
              <w:ind w:left="227"/>
              <w:rPr>
                <w:i/>
                <w:noProof/>
                <w:szCs w:val="24"/>
                <w:lang w:val="fr-BE"/>
              </w:rPr>
            </w:pPr>
            <w:r w:rsidRPr="00366F31">
              <w:rPr>
                <w:i/>
                <w:noProof/>
                <w:szCs w:val="24"/>
              </w:rPr>
              <w:lastRenderedPageBreak/>
              <w:t>Affections musculo-squelettiques et systémiques</w:t>
            </w:r>
          </w:p>
        </w:tc>
        <w:tc>
          <w:tcPr>
            <w:tcW w:w="1800" w:type="dxa"/>
            <w:tcBorders>
              <w:top w:val="single" w:sz="4" w:space="0" w:color="auto"/>
              <w:left w:val="single" w:sz="4" w:space="0" w:color="auto"/>
              <w:bottom w:val="single" w:sz="4" w:space="0" w:color="auto"/>
              <w:right w:val="single" w:sz="4" w:space="0" w:color="auto"/>
            </w:tcBorders>
            <w:hideMark/>
          </w:tcPr>
          <w:p w14:paraId="0B4CF13E"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21CF9202" w14:textId="77777777" w:rsidR="00E36A30" w:rsidRPr="00366F31" w:rsidRDefault="00E36A30" w:rsidP="00F51A33">
            <w:pPr>
              <w:tabs>
                <w:tab w:val="left" w:pos="-1440"/>
              </w:tabs>
              <w:rPr>
                <w:noProof/>
                <w:szCs w:val="24"/>
                <w:lang w:val="fr-BE"/>
              </w:rPr>
            </w:pPr>
            <w:r w:rsidRPr="00366F31">
              <w:rPr>
                <w:noProof/>
                <w:szCs w:val="24"/>
                <w:lang w:val="fr-BE"/>
              </w:rPr>
              <w:t>faiblesse musculaire, myopathie stéroïdienne, perte de masse musculaire, ostéoporose, retard de consolidation de fractures, nécrose aseptique de la tête du fémur et de l’humérus, fractures pathologiques des os longs et fractures spontanées</w:t>
            </w:r>
          </w:p>
        </w:tc>
      </w:tr>
      <w:tr w:rsidR="00E36A30" w:rsidRPr="00366F31" w14:paraId="7FED13C1" w14:textId="77777777" w:rsidTr="00F51A33">
        <w:tc>
          <w:tcPr>
            <w:tcW w:w="3667" w:type="dxa"/>
            <w:tcBorders>
              <w:top w:val="single" w:sz="4" w:space="0" w:color="auto"/>
              <w:left w:val="single" w:sz="4" w:space="0" w:color="auto"/>
              <w:bottom w:val="single" w:sz="4" w:space="0" w:color="auto"/>
              <w:right w:val="single" w:sz="4" w:space="0" w:color="auto"/>
            </w:tcBorders>
          </w:tcPr>
          <w:p w14:paraId="171F5CA7"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29323D8F"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077072B4" w14:textId="77777777" w:rsidR="00E36A30" w:rsidRPr="00366F31" w:rsidRDefault="00E36A30" w:rsidP="00F51A33">
            <w:pPr>
              <w:tabs>
                <w:tab w:val="left" w:pos="-1440"/>
              </w:tabs>
              <w:rPr>
                <w:noProof/>
                <w:szCs w:val="24"/>
                <w:lang w:val="fr-BE"/>
              </w:rPr>
            </w:pPr>
            <w:r w:rsidRPr="00366F31">
              <w:rPr>
                <w:noProof/>
                <w:szCs w:val="24"/>
                <w:lang w:val="fr-BE"/>
              </w:rPr>
              <w:t>rupture spontanée des tendons chez des patients recevant un traitement oral ou systémique par des stéroïdes, fractures-tassement vertébrales</w:t>
            </w:r>
          </w:p>
        </w:tc>
      </w:tr>
      <w:tr w:rsidR="00E36A30" w:rsidRPr="00366F31" w14:paraId="222E00F7"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451BC9B0" w14:textId="77777777" w:rsidR="00E36A30" w:rsidRPr="00485493" w:rsidRDefault="00E36A30" w:rsidP="00F51A33">
            <w:pPr>
              <w:tabs>
                <w:tab w:val="left" w:pos="-1440"/>
              </w:tabs>
              <w:ind w:left="227"/>
              <w:rPr>
                <w:i/>
                <w:noProof/>
                <w:szCs w:val="24"/>
                <w:lang w:val="fr-BE"/>
              </w:rPr>
            </w:pPr>
            <w:r w:rsidRPr="00366F31">
              <w:rPr>
                <w:i/>
                <w:noProof/>
                <w:szCs w:val="24"/>
              </w:rPr>
              <w:t>Affections du rein et des voies urinaires</w:t>
            </w:r>
          </w:p>
        </w:tc>
        <w:tc>
          <w:tcPr>
            <w:tcW w:w="1800" w:type="dxa"/>
            <w:tcBorders>
              <w:top w:val="single" w:sz="4" w:space="0" w:color="auto"/>
              <w:left w:val="single" w:sz="4" w:space="0" w:color="auto"/>
              <w:bottom w:val="single" w:sz="4" w:space="0" w:color="auto"/>
              <w:right w:val="single" w:sz="4" w:space="0" w:color="auto"/>
            </w:tcBorders>
            <w:hideMark/>
          </w:tcPr>
          <w:p w14:paraId="56153CD4"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07CB6D55" w14:textId="248C6ACD" w:rsidR="00E36A30" w:rsidRPr="00366F31" w:rsidRDefault="00E36A30" w:rsidP="00F51A33">
            <w:pPr>
              <w:tabs>
                <w:tab w:val="left" w:pos="-1440"/>
              </w:tabs>
              <w:rPr>
                <w:noProof/>
                <w:szCs w:val="24"/>
                <w:lang w:val="nl-NL"/>
              </w:rPr>
            </w:pPr>
            <w:r w:rsidRPr="00366F31">
              <w:rPr>
                <w:noProof/>
                <w:szCs w:val="24"/>
                <w:lang w:val="nl-NL"/>
              </w:rPr>
              <w:t>glycosurie</w:t>
            </w:r>
          </w:p>
        </w:tc>
      </w:tr>
      <w:tr w:rsidR="00E36A30" w:rsidRPr="00366F31" w14:paraId="082F55AB" w14:textId="77777777" w:rsidTr="00F51A33">
        <w:tc>
          <w:tcPr>
            <w:tcW w:w="3667" w:type="dxa"/>
            <w:tcBorders>
              <w:top w:val="single" w:sz="4" w:space="0" w:color="auto"/>
              <w:left w:val="single" w:sz="4" w:space="0" w:color="auto"/>
              <w:bottom w:val="single" w:sz="4" w:space="0" w:color="auto"/>
              <w:right w:val="single" w:sz="4" w:space="0" w:color="auto"/>
            </w:tcBorders>
          </w:tcPr>
          <w:p w14:paraId="59E7C837" w14:textId="77777777" w:rsidR="00E36A30" w:rsidRPr="00366F31" w:rsidRDefault="00E36A30">
            <w:pPr>
              <w:tabs>
                <w:tab w:val="left" w:pos="-1440"/>
              </w:tabs>
              <w:ind w:left="709"/>
              <w:rPr>
                <w:i/>
                <w:noProof/>
                <w:szCs w:val="24"/>
                <w:lang w:val="nl-NL"/>
              </w:rPr>
            </w:pPr>
          </w:p>
        </w:tc>
        <w:tc>
          <w:tcPr>
            <w:tcW w:w="1800" w:type="dxa"/>
            <w:tcBorders>
              <w:top w:val="single" w:sz="4" w:space="0" w:color="auto"/>
              <w:left w:val="single" w:sz="4" w:space="0" w:color="auto"/>
              <w:bottom w:val="single" w:sz="4" w:space="0" w:color="auto"/>
              <w:right w:val="single" w:sz="4" w:space="0" w:color="auto"/>
            </w:tcBorders>
            <w:hideMark/>
          </w:tcPr>
          <w:p w14:paraId="2BF8C092"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01006BAC" w14:textId="77777777" w:rsidR="00E36A30" w:rsidRPr="00366F31" w:rsidRDefault="00E36A30" w:rsidP="00F51A33">
            <w:pPr>
              <w:tabs>
                <w:tab w:val="left" w:pos="-1440"/>
              </w:tabs>
              <w:rPr>
                <w:noProof/>
                <w:szCs w:val="24"/>
                <w:lang w:val="en-US"/>
              </w:rPr>
            </w:pPr>
            <w:r w:rsidRPr="00366F31">
              <w:rPr>
                <w:noProof/>
                <w:szCs w:val="24"/>
                <w:lang w:val="fr-BE"/>
              </w:rPr>
              <w:t>besoins fréquents d’uriner, énurésie</w:t>
            </w:r>
          </w:p>
        </w:tc>
      </w:tr>
      <w:tr w:rsidR="00E36A30" w:rsidRPr="00366F31" w14:paraId="011A638E"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1AF62CBC" w14:textId="77777777" w:rsidR="00E36A30" w:rsidRPr="00366F31" w:rsidRDefault="00E36A30" w:rsidP="00F51A33">
            <w:pPr>
              <w:tabs>
                <w:tab w:val="left" w:pos="-1440"/>
              </w:tabs>
              <w:ind w:left="227"/>
              <w:rPr>
                <w:i/>
                <w:noProof/>
                <w:szCs w:val="24"/>
                <w:lang w:val="fr-BE"/>
              </w:rPr>
            </w:pPr>
            <w:r w:rsidRPr="00366F31">
              <w:rPr>
                <w:i/>
                <w:noProof/>
                <w:szCs w:val="24"/>
              </w:rPr>
              <w:t>Affections des organes de reproduction et du sein</w:t>
            </w:r>
          </w:p>
        </w:tc>
        <w:tc>
          <w:tcPr>
            <w:tcW w:w="1800" w:type="dxa"/>
            <w:tcBorders>
              <w:top w:val="single" w:sz="4" w:space="0" w:color="auto"/>
              <w:left w:val="single" w:sz="4" w:space="0" w:color="auto"/>
              <w:bottom w:val="single" w:sz="4" w:space="0" w:color="auto"/>
              <w:right w:val="single" w:sz="4" w:space="0" w:color="auto"/>
            </w:tcBorders>
            <w:hideMark/>
          </w:tcPr>
          <w:p w14:paraId="711EDC55"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47F79BA2" w14:textId="77777777" w:rsidR="00E36A30" w:rsidRPr="00366F31" w:rsidRDefault="00E36A30" w:rsidP="00F51A33">
            <w:pPr>
              <w:tabs>
                <w:tab w:val="left" w:pos="-1440"/>
              </w:tabs>
              <w:rPr>
                <w:noProof/>
                <w:szCs w:val="24"/>
                <w:lang w:val="fr-BE"/>
              </w:rPr>
            </w:pPr>
            <w:r w:rsidRPr="00366F31">
              <w:rPr>
                <w:noProof/>
                <w:szCs w:val="24"/>
                <w:lang w:val="fr-BE"/>
              </w:rPr>
              <w:t>une augmentation ou une diminution de la mobilité et du nombre de spermatozoïdes</w:t>
            </w:r>
          </w:p>
        </w:tc>
      </w:tr>
      <w:tr w:rsidR="00E36A30" w:rsidRPr="00366F31" w14:paraId="606EF761"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6C69FFEC" w14:textId="77777777" w:rsidR="00E36A30" w:rsidRPr="00366F31" w:rsidRDefault="00E36A30" w:rsidP="00F51A33">
            <w:pPr>
              <w:tabs>
                <w:tab w:val="left" w:pos="-1440"/>
              </w:tabs>
              <w:ind w:left="227"/>
              <w:rPr>
                <w:i/>
                <w:noProof/>
                <w:szCs w:val="24"/>
                <w:lang w:val="fr-BE"/>
              </w:rPr>
            </w:pPr>
            <w:r w:rsidRPr="00366F31">
              <w:rPr>
                <w:i/>
                <w:noProof/>
                <w:szCs w:val="24"/>
              </w:rPr>
              <w:t>Troubles généraux et anomalies au site d'administration</w:t>
            </w:r>
          </w:p>
        </w:tc>
        <w:tc>
          <w:tcPr>
            <w:tcW w:w="1800" w:type="dxa"/>
            <w:tcBorders>
              <w:top w:val="single" w:sz="4" w:space="0" w:color="auto"/>
              <w:left w:val="single" w:sz="4" w:space="0" w:color="auto"/>
              <w:bottom w:val="single" w:sz="4" w:space="0" w:color="auto"/>
              <w:right w:val="single" w:sz="4" w:space="0" w:color="auto"/>
            </w:tcBorders>
            <w:hideMark/>
          </w:tcPr>
          <w:p w14:paraId="398BE990"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478BFCD3" w14:textId="77777777" w:rsidR="00E36A30" w:rsidRPr="00366F31" w:rsidRDefault="00E36A30" w:rsidP="00F51A33">
            <w:pPr>
              <w:tabs>
                <w:tab w:val="left" w:pos="-1440"/>
              </w:tabs>
              <w:rPr>
                <w:noProof/>
                <w:szCs w:val="24"/>
                <w:lang w:val="fr-BE"/>
              </w:rPr>
            </w:pPr>
            <w:r w:rsidRPr="00366F31">
              <w:rPr>
                <w:noProof/>
                <w:szCs w:val="24"/>
                <w:lang w:val="fr-BE"/>
              </w:rPr>
              <w:t xml:space="preserve">fatigue, guérison difficile des plaies  </w:t>
            </w:r>
          </w:p>
        </w:tc>
      </w:tr>
      <w:tr w:rsidR="00E36A30" w:rsidRPr="00366F31" w14:paraId="1C927211" w14:textId="77777777" w:rsidTr="00F51A33">
        <w:tc>
          <w:tcPr>
            <w:tcW w:w="3667" w:type="dxa"/>
            <w:tcBorders>
              <w:top w:val="single" w:sz="4" w:space="0" w:color="auto"/>
              <w:left w:val="single" w:sz="4" w:space="0" w:color="auto"/>
              <w:bottom w:val="single" w:sz="4" w:space="0" w:color="auto"/>
              <w:right w:val="single" w:sz="4" w:space="0" w:color="auto"/>
            </w:tcBorders>
          </w:tcPr>
          <w:p w14:paraId="1C151E14"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712FB6EF"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4E89EE94" w14:textId="77777777" w:rsidR="00E36A30" w:rsidRPr="00366F31" w:rsidRDefault="00E36A30" w:rsidP="00F51A33">
            <w:pPr>
              <w:tabs>
                <w:tab w:val="left" w:pos="-1440"/>
              </w:tabs>
              <w:rPr>
                <w:noProof/>
                <w:szCs w:val="24"/>
                <w:lang w:val="fr-BE"/>
              </w:rPr>
            </w:pPr>
            <w:r w:rsidRPr="00366F31">
              <w:rPr>
                <w:noProof/>
                <w:szCs w:val="24"/>
                <w:lang w:val="fr-BE"/>
              </w:rPr>
              <w:t>gonflement de la bouche et de la langue, gain de poids après un certain temps, dépôt de graisses, un syndrome de sevrage qui ne serait probablement pas en rapport avec une insuffisance surrénalienne et qui se manifeste par de l’anorexie, des nausées et des vomissements, de la léthargie, des céphalées, de la fièvre, des douleurs articulaires, de la desquamation, des myalgies, une perte de poids et de l’hypotension</w:t>
            </w:r>
            <w:r w:rsidRPr="00366F31">
              <w:rPr>
                <w:noProof/>
                <w:szCs w:val="24"/>
                <w:vertAlign w:val="superscript"/>
                <w:lang w:val="fr-BE"/>
              </w:rPr>
              <w:t>f</w:t>
            </w:r>
          </w:p>
        </w:tc>
      </w:tr>
      <w:tr w:rsidR="00E36A30" w:rsidRPr="00366F31" w14:paraId="7094A86A" w14:textId="77777777" w:rsidTr="00F51A33">
        <w:tc>
          <w:tcPr>
            <w:tcW w:w="3667" w:type="dxa"/>
            <w:tcBorders>
              <w:top w:val="single" w:sz="4" w:space="0" w:color="auto"/>
              <w:left w:val="single" w:sz="4" w:space="0" w:color="auto"/>
              <w:bottom w:val="single" w:sz="4" w:space="0" w:color="auto"/>
              <w:right w:val="single" w:sz="4" w:space="0" w:color="auto"/>
            </w:tcBorders>
            <w:hideMark/>
          </w:tcPr>
          <w:p w14:paraId="392EC8E6" w14:textId="77777777" w:rsidR="00E36A30" w:rsidRPr="00366F31" w:rsidRDefault="00E36A30" w:rsidP="00F51A33">
            <w:pPr>
              <w:tabs>
                <w:tab w:val="left" w:pos="-1440"/>
              </w:tabs>
              <w:ind w:left="227"/>
              <w:rPr>
                <w:i/>
                <w:noProof/>
                <w:szCs w:val="24"/>
                <w:lang w:val="nl-NL"/>
              </w:rPr>
            </w:pPr>
            <w:r w:rsidRPr="00366F31">
              <w:rPr>
                <w:i/>
                <w:noProof/>
                <w:szCs w:val="24"/>
              </w:rPr>
              <w:t>Investigations</w:t>
            </w:r>
          </w:p>
        </w:tc>
        <w:tc>
          <w:tcPr>
            <w:tcW w:w="1800" w:type="dxa"/>
            <w:tcBorders>
              <w:top w:val="single" w:sz="4" w:space="0" w:color="auto"/>
              <w:left w:val="single" w:sz="4" w:space="0" w:color="auto"/>
              <w:bottom w:val="single" w:sz="4" w:space="0" w:color="auto"/>
              <w:right w:val="single" w:sz="4" w:space="0" w:color="auto"/>
            </w:tcBorders>
            <w:hideMark/>
          </w:tcPr>
          <w:p w14:paraId="52DDE769" w14:textId="77777777" w:rsidR="00E36A30" w:rsidRPr="00366F31" w:rsidRDefault="00E36A30" w:rsidP="00F51A33">
            <w:pPr>
              <w:tabs>
                <w:tab w:val="left" w:pos="-1440"/>
              </w:tabs>
              <w:jc w:val="both"/>
              <w:rPr>
                <w:noProof/>
                <w:szCs w:val="24"/>
                <w:lang w:val="nl-NL"/>
              </w:rPr>
            </w:pPr>
            <w:r w:rsidRPr="00366F31">
              <w:rPr>
                <w:noProof/>
                <w:szCs w:val="24"/>
                <w:lang w:val="fr-BE"/>
              </w:rPr>
              <w:t>Peu fréquent</w:t>
            </w:r>
          </w:p>
        </w:tc>
        <w:tc>
          <w:tcPr>
            <w:tcW w:w="3150" w:type="dxa"/>
            <w:tcBorders>
              <w:top w:val="single" w:sz="4" w:space="0" w:color="auto"/>
              <w:left w:val="single" w:sz="4" w:space="0" w:color="auto"/>
              <w:bottom w:val="single" w:sz="4" w:space="0" w:color="auto"/>
              <w:right w:val="single" w:sz="4" w:space="0" w:color="auto"/>
            </w:tcBorders>
            <w:hideMark/>
          </w:tcPr>
          <w:p w14:paraId="26038867" w14:textId="39E9FA03" w:rsidR="00E36A30" w:rsidRPr="00366F31" w:rsidRDefault="00E36A30" w:rsidP="00F51A33">
            <w:pPr>
              <w:tabs>
                <w:tab w:val="left" w:pos="-1440"/>
              </w:tabs>
              <w:rPr>
                <w:noProof/>
                <w:szCs w:val="24"/>
                <w:lang w:val="fr-BE"/>
              </w:rPr>
            </w:pPr>
            <w:r w:rsidRPr="00366F31">
              <w:rPr>
                <w:noProof/>
                <w:szCs w:val="24"/>
                <w:lang w:val="fr-BE"/>
              </w:rPr>
              <w:t xml:space="preserve">suppression de la réaction aux tests cutanés, troubles de l’équilibre azoté dû à un catabolisme des protéines, augmentation de la pression intra-oculaire, diminution de </w:t>
            </w:r>
            <w:r w:rsidRPr="00366F31">
              <w:rPr>
                <w:noProof/>
                <w:szCs w:val="24"/>
                <w:lang w:val="fr-BE"/>
              </w:rPr>
              <w:lastRenderedPageBreak/>
              <w:t>la tolérance aux hydrates de carbone, perte potassique</w:t>
            </w:r>
            <w:r w:rsidRPr="00366F31">
              <w:rPr>
                <w:noProof/>
                <w:szCs w:val="24"/>
                <w:vertAlign w:val="superscript"/>
                <w:lang w:val="fr-BE"/>
              </w:rPr>
              <w:t>g</w:t>
            </w:r>
            <w:r w:rsidRPr="00366F31">
              <w:rPr>
                <w:noProof/>
                <w:szCs w:val="24"/>
                <w:lang w:val="fr-BE"/>
              </w:rPr>
              <w:t xml:space="preserve"> </w:t>
            </w:r>
          </w:p>
        </w:tc>
      </w:tr>
      <w:tr w:rsidR="00E36A30" w:rsidRPr="00366F31" w14:paraId="48274E0A" w14:textId="77777777" w:rsidTr="00F51A33">
        <w:tc>
          <w:tcPr>
            <w:tcW w:w="3667" w:type="dxa"/>
            <w:tcBorders>
              <w:top w:val="single" w:sz="4" w:space="0" w:color="auto"/>
              <w:left w:val="single" w:sz="4" w:space="0" w:color="auto"/>
              <w:bottom w:val="single" w:sz="4" w:space="0" w:color="auto"/>
              <w:right w:val="single" w:sz="4" w:space="0" w:color="auto"/>
            </w:tcBorders>
          </w:tcPr>
          <w:p w14:paraId="120DD1E9" w14:textId="77777777" w:rsidR="00E36A30" w:rsidRPr="00366F31" w:rsidRDefault="00E36A30">
            <w:pPr>
              <w:tabs>
                <w:tab w:val="left" w:pos="-1440"/>
              </w:tabs>
              <w:ind w:left="709"/>
              <w:rPr>
                <w:i/>
                <w:noProof/>
                <w:szCs w:val="24"/>
                <w:lang w:val="fr-BE"/>
              </w:rPr>
            </w:pPr>
          </w:p>
        </w:tc>
        <w:tc>
          <w:tcPr>
            <w:tcW w:w="1800" w:type="dxa"/>
            <w:tcBorders>
              <w:top w:val="single" w:sz="4" w:space="0" w:color="auto"/>
              <w:left w:val="single" w:sz="4" w:space="0" w:color="auto"/>
              <w:bottom w:val="single" w:sz="4" w:space="0" w:color="auto"/>
              <w:right w:val="single" w:sz="4" w:space="0" w:color="auto"/>
            </w:tcBorders>
            <w:hideMark/>
          </w:tcPr>
          <w:p w14:paraId="373AA499" w14:textId="77777777" w:rsidR="00E36A30" w:rsidRPr="00366F31" w:rsidRDefault="00E36A30" w:rsidP="00F51A33">
            <w:pPr>
              <w:tabs>
                <w:tab w:val="left" w:pos="-1440"/>
              </w:tabs>
              <w:jc w:val="both"/>
              <w:rPr>
                <w:noProof/>
                <w:szCs w:val="24"/>
                <w:lang w:val="nl-NL"/>
              </w:rPr>
            </w:pPr>
            <w:r w:rsidRPr="00366F31">
              <w:rPr>
                <w:noProof/>
                <w:szCs w:val="24"/>
                <w:lang w:val="fr-BE"/>
              </w:rPr>
              <w:t>Fréquence indéterminée</w:t>
            </w:r>
          </w:p>
        </w:tc>
        <w:tc>
          <w:tcPr>
            <w:tcW w:w="3150" w:type="dxa"/>
            <w:tcBorders>
              <w:top w:val="single" w:sz="4" w:space="0" w:color="auto"/>
              <w:left w:val="single" w:sz="4" w:space="0" w:color="auto"/>
              <w:bottom w:val="single" w:sz="4" w:space="0" w:color="auto"/>
              <w:right w:val="single" w:sz="4" w:space="0" w:color="auto"/>
            </w:tcBorders>
            <w:hideMark/>
          </w:tcPr>
          <w:p w14:paraId="5FC949F6" w14:textId="77777777" w:rsidR="00E36A30" w:rsidRPr="00366F31" w:rsidRDefault="00E36A30" w:rsidP="00F51A33">
            <w:pPr>
              <w:tabs>
                <w:tab w:val="left" w:pos="-1440"/>
              </w:tabs>
              <w:rPr>
                <w:noProof/>
                <w:szCs w:val="24"/>
                <w:lang w:val="nl-NL"/>
              </w:rPr>
            </w:pPr>
            <w:r w:rsidRPr="00366F31">
              <w:rPr>
                <w:noProof/>
                <w:szCs w:val="24"/>
                <w:lang w:val="fr-BE"/>
              </w:rPr>
              <w:t>hypocalcémie</w:t>
            </w:r>
            <w:r w:rsidRPr="00366F31">
              <w:rPr>
                <w:noProof/>
                <w:szCs w:val="24"/>
                <w:vertAlign w:val="superscript"/>
                <w:lang w:val="nl-NL"/>
              </w:rPr>
              <w:t>h</w:t>
            </w:r>
          </w:p>
        </w:tc>
      </w:tr>
    </w:tbl>
    <w:p w14:paraId="26E9B026" w14:textId="60292020" w:rsidR="00E36A30" w:rsidRPr="00521FD9" w:rsidRDefault="00E36A30" w:rsidP="00E36A30">
      <w:pPr>
        <w:tabs>
          <w:tab w:val="left" w:pos="-1440"/>
        </w:tabs>
        <w:ind w:left="709"/>
        <w:rPr>
          <w:noProof/>
          <w:sz w:val="22"/>
          <w:szCs w:val="22"/>
          <w:lang w:val="fr-BE"/>
        </w:rPr>
      </w:pPr>
      <w:r w:rsidRPr="00521FD9">
        <w:rPr>
          <w:noProof/>
          <w:sz w:val="22"/>
          <w:szCs w:val="22"/>
          <w:vertAlign w:val="superscript"/>
          <w:lang w:val="fr-BE"/>
        </w:rPr>
        <w:t xml:space="preserve">a </w:t>
      </w:r>
      <w:r w:rsidRPr="00521FD9">
        <w:rPr>
          <w:noProof/>
          <w:sz w:val="22"/>
          <w:szCs w:val="22"/>
          <w:lang w:val="fr-BE"/>
        </w:rPr>
        <w:t xml:space="preserve">plus spécialement au </w:t>
      </w:r>
      <w:r w:rsidRPr="00521FD9">
        <w:rPr>
          <w:i/>
          <w:iCs/>
          <w:noProof/>
          <w:sz w:val="22"/>
          <w:szCs w:val="22"/>
          <w:lang w:val="fr-BE"/>
        </w:rPr>
        <w:t>Mycobact</w:t>
      </w:r>
      <w:r w:rsidR="0028183F" w:rsidRPr="00521FD9">
        <w:rPr>
          <w:i/>
          <w:iCs/>
          <w:noProof/>
          <w:sz w:val="22"/>
          <w:szCs w:val="22"/>
          <w:lang w:val="fr-BE"/>
        </w:rPr>
        <w:t>e</w:t>
      </w:r>
      <w:r w:rsidRPr="00521FD9">
        <w:rPr>
          <w:i/>
          <w:iCs/>
          <w:noProof/>
          <w:sz w:val="22"/>
          <w:szCs w:val="22"/>
          <w:lang w:val="fr-BE"/>
        </w:rPr>
        <w:t>rium tuberculosis</w:t>
      </w:r>
      <w:r w:rsidRPr="00521FD9">
        <w:rPr>
          <w:noProof/>
          <w:sz w:val="22"/>
          <w:szCs w:val="22"/>
          <w:lang w:val="fr-BE"/>
        </w:rPr>
        <w:t xml:space="preserve">, au </w:t>
      </w:r>
      <w:r w:rsidRPr="00521FD9">
        <w:rPr>
          <w:i/>
          <w:iCs/>
          <w:noProof/>
          <w:sz w:val="22"/>
          <w:szCs w:val="22"/>
          <w:lang w:val="fr-BE"/>
        </w:rPr>
        <w:t>Candida albicans</w:t>
      </w:r>
      <w:r w:rsidRPr="00521FD9">
        <w:rPr>
          <w:noProof/>
          <w:sz w:val="22"/>
          <w:szCs w:val="22"/>
          <w:lang w:val="fr-BE"/>
        </w:rPr>
        <w:t xml:space="preserve"> et aux virus</w:t>
      </w:r>
    </w:p>
    <w:p w14:paraId="6E176576" w14:textId="77777777" w:rsidR="00E36A30" w:rsidRPr="00521FD9" w:rsidRDefault="00E36A30" w:rsidP="00E36A30">
      <w:pPr>
        <w:tabs>
          <w:tab w:val="left" w:pos="-1440"/>
        </w:tabs>
        <w:ind w:left="709"/>
        <w:rPr>
          <w:noProof/>
          <w:sz w:val="22"/>
          <w:szCs w:val="22"/>
          <w:lang w:val="fr-BE"/>
        </w:rPr>
      </w:pPr>
      <w:r w:rsidRPr="00521FD9">
        <w:rPr>
          <w:noProof/>
          <w:sz w:val="22"/>
          <w:szCs w:val="22"/>
          <w:u w:val="single"/>
          <w:vertAlign w:val="superscript"/>
          <w:lang w:val="fr-BE"/>
        </w:rPr>
        <w:t>b</w:t>
      </w:r>
      <w:r w:rsidRPr="00521FD9">
        <w:rPr>
          <w:noProof/>
          <w:sz w:val="22"/>
          <w:szCs w:val="22"/>
          <w:u w:val="single"/>
          <w:lang w:val="fr-BE"/>
        </w:rPr>
        <w:t xml:space="preserve"> </w:t>
      </w:r>
      <w:r w:rsidRPr="00521FD9">
        <w:rPr>
          <w:noProof/>
          <w:sz w:val="22"/>
          <w:szCs w:val="22"/>
          <w:lang w:val="fr-BE"/>
        </w:rPr>
        <w:t>surtout en période de stress (traumatisme, chirurgie ou maladie)</w:t>
      </w:r>
    </w:p>
    <w:p w14:paraId="129C60E6" w14:textId="77777777" w:rsidR="00E36A30" w:rsidRPr="00521FD9" w:rsidRDefault="00E36A30" w:rsidP="00E36A30">
      <w:pPr>
        <w:tabs>
          <w:tab w:val="left" w:pos="-1440"/>
        </w:tabs>
        <w:ind w:left="709"/>
        <w:rPr>
          <w:noProof/>
          <w:sz w:val="22"/>
          <w:szCs w:val="22"/>
          <w:u w:val="single"/>
          <w:lang w:val="fr-BE"/>
        </w:rPr>
      </w:pPr>
      <w:r w:rsidRPr="00521FD9">
        <w:rPr>
          <w:noProof/>
          <w:sz w:val="22"/>
          <w:szCs w:val="22"/>
          <w:u w:val="single"/>
          <w:vertAlign w:val="superscript"/>
          <w:lang w:val="fr-BE"/>
        </w:rPr>
        <w:t>c</w:t>
      </w:r>
      <w:r w:rsidRPr="00521FD9">
        <w:rPr>
          <w:noProof/>
          <w:sz w:val="22"/>
          <w:szCs w:val="22"/>
          <w:lang w:val="fr-BE"/>
        </w:rPr>
        <w:t xml:space="preserve"> une relation cause à effet n’a toutefois pas été établie</w:t>
      </w:r>
    </w:p>
    <w:p w14:paraId="143E02F1" w14:textId="77777777" w:rsidR="00E36A30" w:rsidRPr="00521FD9" w:rsidRDefault="00E36A30" w:rsidP="00E36A30">
      <w:pPr>
        <w:tabs>
          <w:tab w:val="left" w:pos="-1440"/>
        </w:tabs>
        <w:ind w:left="709"/>
        <w:rPr>
          <w:noProof/>
          <w:sz w:val="22"/>
          <w:szCs w:val="22"/>
          <w:u w:val="single"/>
          <w:lang w:val="fr-BE"/>
        </w:rPr>
      </w:pPr>
      <w:r w:rsidRPr="00521FD9">
        <w:rPr>
          <w:noProof/>
          <w:sz w:val="22"/>
          <w:szCs w:val="22"/>
          <w:u w:val="single"/>
          <w:vertAlign w:val="superscript"/>
          <w:lang w:val="fr-BE"/>
        </w:rPr>
        <w:t>d</w:t>
      </w:r>
      <w:r w:rsidRPr="00521FD9">
        <w:rPr>
          <w:noProof/>
          <w:sz w:val="22"/>
          <w:szCs w:val="22"/>
          <w:u w:val="single"/>
          <w:lang w:val="fr-BE"/>
        </w:rPr>
        <w:t xml:space="preserve"> </w:t>
      </w:r>
      <w:r w:rsidRPr="00521FD9">
        <w:rPr>
          <w:noProof/>
          <w:sz w:val="22"/>
          <w:szCs w:val="22"/>
          <w:lang w:val="fr-BE"/>
        </w:rPr>
        <w:t>associée à une hypertension ou une décompensation cardiaque</w:t>
      </w:r>
      <w:r w:rsidRPr="00521FD9">
        <w:rPr>
          <w:noProof/>
          <w:sz w:val="22"/>
          <w:szCs w:val="22"/>
          <w:u w:val="single"/>
          <w:lang w:val="fr-BE"/>
        </w:rPr>
        <w:t xml:space="preserve"> </w:t>
      </w:r>
    </w:p>
    <w:p w14:paraId="2A03918C" w14:textId="77777777" w:rsidR="00E36A30" w:rsidRPr="00521FD9" w:rsidRDefault="00E36A30" w:rsidP="00E36A30">
      <w:pPr>
        <w:tabs>
          <w:tab w:val="left" w:pos="-1440"/>
        </w:tabs>
        <w:ind w:left="709"/>
        <w:rPr>
          <w:noProof/>
          <w:sz w:val="22"/>
          <w:szCs w:val="22"/>
          <w:u w:val="single"/>
          <w:vertAlign w:val="superscript"/>
          <w:lang w:val="fr-BE"/>
        </w:rPr>
      </w:pPr>
      <w:r w:rsidRPr="00521FD9">
        <w:rPr>
          <w:noProof/>
          <w:sz w:val="22"/>
          <w:szCs w:val="22"/>
          <w:vertAlign w:val="superscript"/>
          <w:lang w:val="fr-BE"/>
        </w:rPr>
        <w:t xml:space="preserve">e </w:t>
      </w:r>
      <w:r w:rsidRPr="00521FD9">
        <w:rPr>
          <w:noProof/>
          <w:sz w:val="22"/>
          <w:szCs w:val="22"/>
          <w:lang w:val="fr-BE"/>
        </w:rPr>
        <w:t>généralement après traitement dû à un phénomène de sevrage</w:t>
      </w:r>
      <w:r w:rsidRPr="00521FD9">
        <w:rPr>
          <w:noProof/>
          <w:sz w:val="22"/>
          <w:szCs w:val="22"/>
          <w:u w:val="single"/>
          <w:vertAlign w:val="superscript"/>
          <w:lang w:val="fr-BE"/>
        </w:rPr>
        <w:t xml:space="preserve"> </w:t>
      </w:r>
    </w:p>
    <w:p w14:paraId="65F371F6" w14:textId="77777777" w:rsidR="00E36A30" w:rsidRPr="00521FD9" w:rsidRDefault="00E36A30" w:rsidP="00E36A30">
      <w:pPr>
        <w:tabs>
          <w:tab w:val="left" w:pos="-1440"/>
        </w:tabs>
        <w:ind w:left="709"/>
        <w:rPr>
          <w:noProof/>
          <w:sz w:val="22"/>
          <w:szCs w:val="22"/>
          <w:u w:val="single"/>
          <w:lang w:val="fr-BE"/>
        </w:rPr>
      </w:pPr>
      <w:r w:rsidRPr="00521FD9">
        <w:rPr>
          <w:noProof/>
          <w:sz w:val="22"/>
          <w:szCs w:val="22"/>
          <w:u w:val="single"/>
          <w:vertAlign w:val="superscript"/>
          <w:lang w:val="fr-BE"/>
        </w:rPr>
        <w:t>f</w:t>
      </w:r>
      <w:r w:rsidRPr="00521FD9">
        <w:rPr>
          <w:noProof/>
          <w:sz w:val="22"/>
          <w:szCs w:val="22"/>
          <w:u w:val="single"/>
          <w:lang w:val="fr-BE"/>
        </w:rPr>
        <w:t xml:space="preserve"> a été rapporté à la suite d’un arrêt brusque d’un traitement par glucocorticoïdes</w:t>
      </w:r>
    </w:p>
    <w:p w14:paraId="4767DCDC" w14:textId="24C26011" w:rsidR="00E36A30" w:rsidRPr="00521FD9" w:rsidRDefault="00E36A30" w:rsidP="00E36A30">
      <w:pPr>
        <w:tabs>
          <w:tab w:val="left" w:pos="-1440"/>
        </w:tabs>
        <w:ind w:left="709"/>
        <w:rPr>
          <w:noProof/>
          <w:sz w:val="22"/>
          <w:szCs w:val="22"/>
          <w:u w:val="single"/>
          <w:lang w:val="fr-BE"/>
        </w:rPr>
      </w:pPr>
      <w:r w:rsidRPr="00521FD9">
        <w:rPr>
          <w:noProof/>
          <w:sz w:val="22"/>
          <w:szCs w:val="22"/>
          <w:vertAlign w:val="superscript"/>
          <w:lang w:val="fr-BE"/>
        </w:rPr>
        <w:t xml:space="preserve">g </w:t>
      </w:r>
      <w:r w:rsidRPr="00521FD9">
        <w:rPr>
          <w:noProof/>
          <w:sz w:val="22"/>
          <w:szCs w:val="22"/>
          <w:lang w:val="fr-BE"/>
        </w:rPr>
        <w:t>pouvant entraîner des arythmies cardiaques ou des modifications à l’ECG</w:t>
      </w:r>
      <w:r w:rsidRPr="00521FD9">
        <w:rPr>
          <w:noProof/>
          <w:sz w:val="22"/>
          <w:szCs w:val="22"/>
          <w:u w:val="single"/>
          <w:lang w:val="fr-BE"/>
        </w:rPr>
        <w:t xml:space="preserve"> </w:t>
      </w:r>
    </w:p>
    <w:p w14:paraId="7690AC60" w14:textId="77777777" w:rsidR="00E36A30" w:rsidRPr="00521FD9" w:rsidRDefault="00E36A30" w:rsidP="00E36A30">
      <w:pPr>
        <w:tabs>
          <w:tab w:val="left" w:pos="-1440"/>
        </w:tabs>
        <w:ind w:left="709"/>
        <w:rPr>
          <w:noProof/>
          <w:sz w:val="22"/>
          <w:szCs w:val="22"/>
          <w:lang w:val="fr-BE"/>
        </w:rPr>
      </w:pPr>
      <w:r w:rsidRPr="00521FD9">
        <w:rPr>
          <w:noProof/>
          <w:sz w:val="22"/>
          <w:szCs w:val="22"/>
          <w:vertAlign w:val="superscript"/>
          <w:lang w:val="fr-BE"/>
        </w:rPr>
        <w:t xml:space="preserve">h </w:t>
      </w:r>
      <w:r w:rsidRPr="00521FD9">
        <w:rPr>
          <w:noProof/>
          <w:sz w:val="22"/>
          <w:szCs w:val="22"/>
          <w:lang w:val="fr-BE"/>
        </w:rPr>
        <w:t>tous les glucocorticoïdes augmentent l’excrétion calcique et peuvent provoquer de l’hypocalcémie</w:t>
      </w:r>
    </w:p>
    <w:p w14:paraId="2731D184" w14:textId="77777777" w:rsidR="00E36A30" w:rsidRPr="00366F31" w:rsidRDefault="00E36A30" w:rsidP="0062637F">
      <w:pPr>
        <w:tabs>
          <w:tab w:val="left" w:pos="-1440"/>
        </w:tabs>
        <w:ind w:left="709"/>
        <w:rPr>
          <w:b/>
          <w:i/>
          <w:noProof/>
          <w:szCs w:val="24"/>
          <w:lang w:val="fr-BE"/>
        </w:rPr>
      </w:pPr>
    </w:p>
    <w:p w14:paraId="3D3F8B7F" w14:textId="77777777" w:rsidR="0062637F" w:rsidRPr="00366F31" w:rsidRDefault="0062637F" w:rsidP="003912FC">
      <w:pPr>
        <w:pStyle w:val="ListParagraph"/>
        <w:ind w:left="709"/>
      </w:pPr>
      <w:r w:rsidRPr="00366F31">
        <w:rPr>
          <w:u w:val="single"/>
        </w:rPr>
        <w:t>Après une administration intra-articulaire</w:t>
      </w:r>
      <w:r w:rsidRPr="00366F31">
        <w:t>: érythème post</w:t>
      </w:r>
      <w:r w:rsidR="00E96110">
        <w:t xml:space="preserve"> </w:t>
      </w:r>
      <w:r w:rsidRPr="00366F31">
        <w:t xml:space="preserve">injection, douleur passagère, irritation au site d’injection, abcès stériles, hyper- ou hypopigmentation, arthropathie du type Charcot et, occasionnellement, accentuation de la gêne articulaire. </w:t>
      </w:r>
    </w:p>
    <w:p w14:paraId="49D7591C" w14:textId="77777777" w:rsidR="0062637F" w:rsidRPr="00366F31" w:rsidRDefault="0062637F" w:rsidP="003912FC">
      <w:pPr>
        <w:pStyle w:val="ListParagraph"/>
        <w:ind w:left="709"/>
      </w:pPr>
    </w:p>
    <w:p w14:paraId="65825612" w14:textId="4FEC29FE" w:rsidR="0062637F" w:rsidRPr="00366F31" w:rsidRDefault="0062637F" w:rsidP="003912FC">
      <w:pPr>
        <w:pStyle w:val="ListParagraph"/>
        <w:ind w:left="709"/>
      </w:pPr>
      <w:r w:rsidRPr="00366F31">
        <w:rPr>
          <w:u w:val="single"/>
        </w:rPr>
        <w:t>Après une administration intradermique</w:t>
      </w:r>
      <w:r w:rsidRPr="00366F31">
        <w:t xml:space="preserve"> :</w:t>
      </w:r>
      <w:r w:rsidR="00E36A30" w:rsidRPr="00366F31">
        <w:t xml:space="preserve"> </w:t>
      </w:r>
      <w:r w:rsidRPr="00366F31">
        <w:t>inconfort local transitoire, abcès stériles, hyper- ou hypopigmentation, atrophie cutanée et sous-cutanée (qui disparaît habituellement, sauf si le processus pathologique de base est lui-même atrophique)</w:t>
      </w:r>
      <w:r w:rsidR="00A96933">
        <w:t>, c</w:t>
      </w:r>
      <w:r w:rsidR="00A96933" w:rsidRPr="007B0892">
        <w:t>écité à la suite d'un traitement intralésion</w:t>
      </w:r>
      <w:r w:rsidR="00A96933">
        <w:t>n</w:t>
      </w:r>
      <w:r w:rsidR="00A96933" w:rsidRPr="007B0892">
        <w:t>el de la face</w:t>
      </w:r>
      <w:r w:rsidR="00A96933">
        <w:t>, de la tête</w:t>
      </w:r>
      <w:r w:rsidR="00A96933" w:rsidRPr="007B0892">
        <w:t xml:space="preserve"> ou du cou</w:t>
      </w:r>
      <w:r w:rsidR="00A96933" w:rsidRPr="00366F31">
        <w:t>.</w:t>
      </w:r>
    </w:p>
    <w:p w14:paraId="542CD4A4" w14:textId="77777777" w:rsidR="003912FC" w:rsidRPr="00366F31" w:rsidRDefault="003912FC">
      <w:pPr>
        <w:tabs>
          <w:tab w:val="left" w:pos="-1440"/>
        </w:tabs>
        <w:ind w:left="1401" w:hanging="720"/>
      </w:pPr>
    </w:p>
    <w:p w14:paraId="56E68B31" w14:textId="77777777" w:rsidR="00945DF1" w:rsidRPr="00366F31" w:rsidRDefault="00945DF1" w:rsidP="00F908E0">
      <w:pPr>
        <w:autoSpaceDE w:val="0"/>
        <w:autoSpaceDN w:val="0"/>
        <w:adjustRightInd w:val="0"/>
        <w:ind w:left="454" w:firstLine="227"/>
        <w:jc w:val="both"/>
        <w:rPr>
          <w:szCs w:val="22"/>
          <w:u w:val="single"/>
          <w:lang w:val="fr-BE"/>
        </w:rPr>
      </w:pPr>
      <w:r w:rsidRPr="00366F31">
        <w:rPr>
          <w:szCs w:val="22"/>
          <w:u w:val="single"/>
          <w:lang w:val="fr-BE"/>
        </w:rPr>
        <w:t>Déclaration des effets indésirables suspectés</w:t>
      </w:r>
    </w:p>
    <w:p w14:paraId="6576BB0E" w14:textId="77777777" w:rsidR="001C21A6" w:rsidRDefault="00945DF1" w:rsidP="00F908E0">
      <w:pPr>
        <w:autoSpaceDE w:val="0"/>
        <w:autoSpaceDN w:val="0"/>
        <w:adjustRightInd w:val="0"/>
        <w:ind w:left="681"/>
        <w:jc w:val="both"/>
        <w:rPr>
          <w:szCs w:val="22"/>
        </w:rPr>
      </w:pPr>
      <w:r w:rsidRPr="00366F31">
        <w:rPr>
          <w:szCs w:val="22"/>
          <w:lang w:val="fr-BE"/>
        </w:rPr>
        <w:t xml:space="preserve">La déclaration des effets indésirables suspectés après autorisation du médicament est importante. Elle permet une surveillance continue du rapport bénéfice/risque du médicament. </w:t>
      </w:r>
      <w:r w:rsidRPr="00366F31">
        <w:rPr>
          <w:szCs w:val="22"/>
        </w:rPr>
        <w:t xml:space="preserve">Les professionnels de santé déclarent tout effet indésirable suspecté via </w:t>
      </w:r>
    </w:p>
    <w:p w14:paraId="16F2E347" w14:textId="77777777" w:rsidR="00593CCF" w:rsidRPr="00366F31" w:rsidRDefault="00593CCF" w:rsidP="00F908E0">
      <w:pPr>
        <w:autoSpaceDE w:val="0"/>
        <w:autoSpaceDN w:val="0"/>
        <w:adjustRightInd w:val="0"/>
        <w:ind w:left="681"/>
        <w:jc w:val="both"/>
        <w:rPr>
          <w:szCs w:val="22"/>
          <w:lang w:val="fr-BE"/>
        </w:rPr>
      </w:pPr>
    </w:p>
    <w:p w14:paraId="7F05D070" w14:textId="77777777" w:rsidR="001C21A6" w:rsidRPr="00366F31" w:rsidRDefault="00431949" w:rsidP="001C21A6">
      <w:pPr>
        <w:ind w:left="681"/>
        <w:jc w:val="both"/>
        <w:rPr>
          <w:b/>
        </w:rPr>
      </w:pPr>
      <w:r>
        <w:rPr>
          <w:b/>
        </w:rPr>
        <w:t>Belgique:</w:t>
      </w:r>
    </w:p>
    <w:p w14:paraId="44369A10" w14:textId="77777777" w:rsidR="0028183F" w:rsidRPr="00955373" w:rsidRDefault="0028183F" w:rsidP="0028183F">
      <w:pPr>
        <w:ind w:left="681"/>
        <w:rPr>
          <w:szCs w:val="22"/>
          <w:lang w:val="fr-BE"/>
        </w:rPr>
      </w:pPr>
      <w:r w:rsidRPr="00955373">
        <w:rPr>
          <w:szCs w:val="22"/>
          <w:lang w:val="fr-BE"/>
        </w:rPr>
        <w:t>Agence fédérale des médicaments et des produits de santé</w:t>
      </w:r>
    </w:p>
    <w:p w14:paraId="7DC14368" w14:textId="77777777" w:rsidR="0028183F" w:rsidRPr="00955373" w:rsidRDefault="0028183F" w:rsidP="0028183F">
      <w:pPr>
        <w:ind w:left="681"/>
        <w:rPr>
          <w:szCs w:val="22"/>
          <w:lang w:val="fr-BE"/>
        </w:rPr>
      </w:pPr>
      <w:r w:rsidRPr="00955373">
        <w:rPr>
          <w:szCs w:val="22"/>
          <w:lang w:val="fr-BE"/>
        </w:rPr>
        <w:t>Division Vigilance</w:t>
      </w:r>
    </w:p>
    <w:p w14:paraId="53B53051" w14:textId="77777777" w:rsidR="00955373" w:rsidRPr="00955373" w:rsidRDefault="00955373" w:rsidP="00955373">
      <w:pPr>
        <w:ind w:left="681"/>
        <w:rPr>
          <w:szCs w:val="22"/>
          <w:lang w:val="fr-BE"/>
        </w:rPr>
      </w:pPr>
      <w:r w:rsidRPr="00955373">
        <w:rPr>
          <w:szCs w:val="22"/>
          <w:lang w:val="fr-BE"/>
        </w:rPr>
        <w:t>Boîte Postale 97</w:t>
      </w:r>
    </w:p>
    <w:p w14:paraId="690B749B" w14:textId="77777777" w:rsidR="00955373" w:rsidRPr="00955373" w:rsidRDefault="00955373" w:rsidP="00955373">
      <w:pPr>
        <w:ind w:left="681"/>
        <w:rPr>
          <w:szCs w:val="22"/>
          <w:lang w:val="fr-BE"/>
        </w:rPr>
      </w:pPr>
      <w:r w:rsidRPr="00955373">
        <w:rPr>
          <w:szCs w:val="22"/>
          <w:lang w:val="fr-BE"/>
        </w:rPr>
        <w:t>1000 BRUXELLES Madou</w:t>
      </w:r>
    </w:p>
    <w:p w14:paraId="2825FA28" w14:textId="7BC23CBE" w:rsidR="0028183F" w:rsidRPr="00955373" w:rsidRDefault="0028183F" w:rsidP="0028183F">
      <w:pPr>
        <w:ind w:left="681" w:right="34"/>
        <w:rPr>
          <w:szCs w:val="22"/>
          <w:lang w:val="fr-BE"/>
        </w:rPr>
      </w:pPr>
      <w:r w:rsidRPr="00955373">
        <w:rPr>
          <w:szCs w:val="22"/>
          <w:lang w:val="fr-BE"/>
        </w:rPr>
        <w:t xml:space="preserve">Site internet: </w:t>
      </w:r>
      <w:hyperlink r:id="rId7" w:history="1">
        <w:r w:rsidR="00955373" w:rsidRPr="001E3841">
          <w:rPr>
            <w:rStyle w:val="Hyperlink"/>
            <w:lang w:val="fr-BE"/>
          </w:rPr>
          <w:t>www.notifieruneffetindesirable.be</w:t>
        </w:r>
      </w:hyperlink>
      <w:r w:rsidR="00955373">
        <w:rPr>
          <w:lang w:val="fr-BE"/>
        </w:rPr>
        <w:t xml:space="preserve">  </w:t>
      </w:r>
    </w:p>
    <w:p w14:paraId="53FAA799" w14:textId="3A301CFD" w:rsidR="0028183F" w:rsidRPr="00955373" w:rsidRDefault="0028183F" w:rsidP="0028183F">
      <w:pPr>
        <w:ind w:left="681"/>
        <w:rPr>
          <w:szCs w:val="22"/>
          <w:lang w:val="fr-BE"/>
        </w:rPr>
      </w:pPr>
      <w:r w:rsidRPr="00955373">
        <w:rPr>
          <w:szCs w:val="22"/>
          <w:lang w:val="fr-BE"/>
        </w:rPr>
        <w:t xml:space="preserve">e-mail: </w:t>
      </w:r>
      <w:hyperlink r:id="rId8" w:history="1">
        <w:r w:rsidR="00955373" w:rsidRPr="001E3841">
          <w:rPr>
            <w:rStyle w:val="Hyperlink"/>
            <w:lang w:val="fr-BE"/>
          </w:rPr>
          <w:t>adr@afmps.be</w:t>
        </w:r>
      </w:hyperlink>
      <w:r w:rsidR="00955373">
        <w:rPr>
          <w:lang w:val="fr-BE"/>
        </w:rPr>
        <w:t xml:space="preserve"> </w:t>
      </w:r>
    </w:p>
    <w:p w14:paraId="7704A7A1" w14:textId="77777777" w:rsidR="00BE2ABA" w:rsidRDefault="00BE2ABA" w:rsidP="0028183F">
      <w:pPr>
        <w:ind w:left="681"/>
        <w:jc w:val="both"/>
        <w:rPr>
          <w:b/>
        </w:rPr>
      </w:pPr>
    </w:p>
    <w:p w14:paraId="089FCE51" w14:textId="77777777" w:rsidR="00BE2ABA" w:rsidRPr="00BE2ABA" w:rsidRDefault="00BE2ABA" w:rsidP="00BE2ABA">
      <w:pPr>
        <w:tabs>
          <w:tab w:val="left" w:pos="-1440"/>
        </w:tabs>
        <w:ind w:left="681"/>
        <w:rPr>
          <w:b/>
        </w:rPr>
      </w:pPr>
      <w:r w:rsidRPr="00BE2ABA">
        <w:rPr>
          <w:b/>
        </w:rPr>
        <w:t>Luxembourg :</w:t>
      </w:r>
    </w:p>
    <w:p w14:paraId="077498CC" w14:textId="77777777" w:rsidR="0028183F" w:rsidRPr="00955373" w:rsidRDefault="0028183F" w:rsidP="0028183F">
      <w:pPr>
        <w:pStyle w:val="xmsonormal"/>
        <w:ind w:left="681"/>
        <w:rPr>
          <w:lang w:val="fr-FR"/>
        </w:rPr>
      </w:pPr>
      <w:r w:rsidRPr="00955373">
        <w:rPr>
          <w:lang w:val="fr-FR"/>
        </w:rPr>
        <w:t>Centre Régional de Pharmacovigilance de Nancy</w:t>
      </w:r>
    </w:p>
    <w:p w14:paraId="1F167F29" w14:textId="77777777" w:rsidR="0028183F" w:rsidRPr="00955373" w:rsidRDefault="0028183F" w:rsidP="0028183F">
      <w:pPr>
        <w:pStyle w:val="xmsonormal"/>
        <w:ind w:left="681"/>
        <w:rPr>
          <w:lang w:val="fr-FR"/>
        </w:rPr>
      </w:pPr>
      <w:r w:rsidRPr="00955373">
        <w:rPr>
          <w:lang w:val="fr-FR"/>
        </w:rPr>
        <w:t>Bâtiment de Biologie Moléculaire et de Biopathologie (BBB)</w:t>
      </w:r>
    </w:p>
    <w:p w14:paraId="3D191273" w14:textId="77777777" w:rsidR="0028183F" w:rsidRPr="00955373" w:rsidRDefault="0028183F" w:rsidP="0028183F">
      <w:pPr>
        <w:pStyle w:val="xmsonormal"/>
        <w:ind w:left="681"/>
        <w:rPr>
          <w:lang w:val="fr-FR"/>
        </w:rPr>
      </w:pPr>
      <w:r w:rsidRPr="00955373">
        <w:rPr>
          <w:lang w:val="fr-FR"/>
        </w:rPr>
        <w:t>CHRU de Nancy – Hôpitaux de Brabois</w:t>
      </w:r>
    </w:p>
    <w:p w14:paraId="05E5955B" w14:textId="77777777" w:rsidR="0028183F" w:rsidRPr="00955373" w:rsidRDefault="0028183F" w:rsidP="0028183F">
      <w:pPr>
        <w:pStyle w:val="xmsonormal"/>
        <w:ind w:left="681"/>
        <w:rPr>
          <w:lang w:val="fr-FR"/>
        </w:rPr>
      </w:pPr>
      <w:r w:rsidRPr="00955373">
        <w:rPr>
          <w:lang w:val="fr-FR"/>
        </w:rPr>
        <w:t>Rue du Morvan</w:t>
      </w:r>
    </w:p>
    <w:p w14:paraId="04875C20" w14:textId="77777777" w:rsidR="0028183F" w:rsidRPr="00955373" w:rsidRDefault="0028183F" w:rsidP="0028183F">
      <w:pPr>
        <w:pStyle w:val="xmsonormal"/>
        <w:ind w:left="681"/>
        <w:rPr>
          <w:lang w:val="fr-FR"/>
        </w:rPr>
      </w:pPr>
      <w:r w:rsidRPr="00955373">
        <w:rPr>
          <w:lang w:val="fr-FR"/>
        </w:rPr>
        <w:t xml:space="preserve">54 511 VANDOEUVRE LES NANCY CEDEX </w:t>
      </w:r>
    </w:p>
    <w:p w14:paraId="539F73C9" w14:textId="0F2B206B" w:rsidR="0028183F" w:rsidRPr="00955373" w:rsidRDefault="0028183F" w:rsidP="0028183F">
      <w:pPr>
        <w:pStyle w:val="xmsonormal"/>
        <w:ind w:left="681"/>
        <w:rPr>
          <w:lang w:val="fr-FR"/>
        </w:rPr>
      </w:pPr>
      <w:r w:rsidRPr="00955373">
        <w:rPr>
          <w:lang w:val="fr-FR"/>
        </w:rPr>
        <w:t>Tél: (+33) 3 83 65 60 85 / 87</w:t>
      </w:r>
    </w:p>
    <w:p w14:paraId="2729DAE9" w14:textId="77777777" w:rsidR="0028183F" w:rsidRPr="00955373" w:rsidRDefault="0028183F" w:rsidP="0028183F">
      <w:pPr>
        <w:pStyle w:val="xmsonormal"/>
        <w:ind w:left="681"/>
        <w:rPr>
          <w:lang w:val="fr-FR"/>
        </w:rPr>
      </w:pPr>
      <w:r w:rsidRPr="00955373">
        <w:rPr>
          <w:bCs/>
          <w:lang w:val="fr-FR"/>
        </w:rPr>
        <w:t xml:space="preserve">e-mail: </w:t>
      </w:r>
      <w:hyperlink r:id="rId9" w:tgtFrame="_blank" w:history="1">
        <w:r w:rsidRPr="00955373">
          <w:rPr>
            <w:rStyle w:val="Hyperlink"/>
            <w:bCs/>
            <w:lang w:val="fr-FR"/>
          </w:rPr>
          <w:t>crpv@chru-nancy.fr</w:t>
        </w:r>
      </w:hyperlink>
    </w:p>
    <w:p w14:paraId="5AB0EF23" w14:textId="1D611B1E" w:rsidR="0028183F" w:rsidRPr="00955373" w:rsidRDefault="0028183F" w:rsidP="0028183F">
      <w:pPr>
        <w:pStyle w:val="xmsonormal"/>
        <w:ind w:left="681"/>
        <w:rPr>
          <w:lang w:val="fr-FR"/>
        </w:rPr>
      </w:pPr>
      <w:r w:rsidRPr="00955373">
        <w:rPr>
          <w:lang w:val="fr-FR"/>
        </w:rPr>
        <w:t>ou</w:t>
      </w:r>
    </w:p>
    <w:p w14:paraId="47EB2984" w14:textId="77777777" w:rsidR="0028183F" w:rsidRPr="00955373" w:rsidRDefault="0028183F" w:rsidP="0028183F">
      <w:pPr>
        <w:ind w:left="681"/>
        <w:rPr>
          <w:rFonts w:eastAsia="Calibri"/>
          <w:noProof/>
          <w:szCs w:val="24"/>
          <w:lang w:val="fr-CH" w:eastAsia="zh-CN"/>
        </w:rPr>
      </w:pPr>
      <w:r w:rsidRPr="00955373">
        <w:rPr>
          <w:rFonts w:eastAsia="Calibri"/>
          <w:noProof/>
          <w:szCs w:val="24"/>
          <w:lang w:val="fr-CH" w:eastAsia="zh-CN"/>
        </w:rPr>
        <w:t>Direction de la Santé</w:t>
      </w:r>
    </w:p>
    <w:p w14:paraId="23A47CE7" w14:textId="77777777" w:rsidR="0028183F" w:rsidRPr="00955373" w:rsidRDefault="0028183F" w:rsidP="0028183F">
      <w:pPr>
        <w:ind w:left="681"/>
        <w:rPr>
          <w:rFonts w:eastAsia="Calibri"/>
          <w:noProof/>
          <w:szCs w:val="24"/>
          <w:lang w:eastAsia="zh-CN"/>
        </w:rPr>
      </w:pPr>
      <w:r w:rsidRPr="00955373">
        <w:rPr>
          <w:rFonts w:eastAsia="Calibri"/>
          <w:noProof/>
          <w:szCs w:val="24"/>
          <w:lang w:val="fr-CH" w:eastAsia="zh-CN"/>
        </w:rPr>
        <w:t>Division de la Pharmacie et des Médicaments</w:t>
      </w:r>
      <w:r w:rsidRPr="00955373">
        <w:rPr>
          <w:rFonts w:eastAsia="Calibri"/>
          <w:noProof/>
          <w:szCs w:val="24"/>
          <w:lang w:eastAsia="zh-CN"/>
        </w:rPr>
        <w:t xml:space="preserve"> </w:t>
      </w:r>
    </w:p>
    <w:p w14:paraId="78587C7C" w14:textId="77777777" w:rsidR="0028183F" w:rsidRPr="00955373" w:rsidRDefault="0028183F" w:rsidP="0028183F">
      <w:pPr>
        <w:ind w:left="681"/>
        <w:rPr>
          <w:rFonts w:eastAsia="Calibri"/>
          <w:noProof/>
          <w:szCs w:val="24"/>
          <w:lang w:val="fr-CH" w:eastAsia="zh-CN"/>
        </w:rPr>
      </w:pPr>
      <w:r w:rsidRPr="00955373">
        <w:rPr>
          <w:rFonts w:eastAsia="Calibri"/>
          <w:noProof/>
          <w:szCs w:val="24"/>
          <w:lang w:val="fr-CH" w:eastAsia="zh-CN"/>
        </w:rPr>
        <w:t>20, rue de Bitbourg</w:t>
      </w:r>
    </w:p>
    <w:p w14:paraId="75ACA7B1" w14:textId="77777777" w:rsidR="0028183F" w:rsidRPr="00955373" w:rsidRDefault="0028183F" w:rsidP="0028183F">
      <w:pPr>
        <w:pStyle w:val="xmsonormal"/>
        <w:ind w:left="681"/>
        <w:rPr>
          <w:noProof/>
          <w:lang w:val="fr-CH" w:eastAsia="zh-CN"/>
        </w:rPr>
      </w:pPr>
      <w:r w:rsidRPr="00955373">
        <w:rPr>
          <w:noProof/>
          <w:lang w:val="fr-FR" w:eastAsia="zh-CN"/>
        </w:rPr>
        <w:t>L-1273</w:t>
      </w:r>
      <w:r w:rsidRPr="00955373">
        <w:rPr>
          <w:noProof/>
          <w:lang w:val="fr-CH" w:eastAsia="zh-CN"/>
        </w:rPr>
        <w:t xml:space="preserve"> Luxembourg-Hamm</w:t>
      </w:r>
    </w:p>
    <w:p w14:paraId="7BAA1ADF" w14:textId="77777777" w:rsidR="0028183F" w:rsidRPr="00955373" w:rsidRDefault="0028183F" w:rsidP="0028183F">
      <w:pPr>
        <w:pStyle w:val="xmsonormal"/>
        <w:ind w:left="681"/>
        <w:rPr>
          <w:noProof/>
          <w:lang w:val="fr-CH" w:eastAsia="zh-CN"/>
        </w:rPr>
      </w:pPr>
      <w:r w:rsidRPr="00955373">
        <w:rPr>
          <w:noProof/>
          <w:lang w:val="fr-CH" w:eastAsia="zh-CN"/>
        </w:rPr>
        <w:t>Tél.: (+352) 2478 5592</w:t>
      </w:r>
    </w:p>
    <w:p w14:paraId="47D5DAAB" w14:textId="4C3AF12E" w:rsidR="0028183F" w:rsidRPr="00955373" w:rsidRDefault="0028183F" w:rsidP="0028183F">
      <w:pPr>
        <w:pStyle w:val="xmsonormal"/>
        <w:ind w:left="681"/>
        <w:rPr>
          <w:lang w:val="fr-FR"/>
        </w:rPr>
      </w:pPr>
      <w:r w:rsidRPr="00955373">
        <w:rPr>
          <w:noProof/>
          <w:lang w:val="fr-CH" w:eastAsia="zh-CN"/>
        </w:rPr>
        <w:t xml:space="preserve">e-mail: </w:t>
      </w:r>
      <w:hyperlink r:id="rId10" w:history="1">
        <w:r w:rsidRPr="00955373">
          <w:rPr>
            <w:rStyle w:val="Hyperlink"/>
            <w:noProof/>
            <w:lang w:val="fr-FR" w:eastAsia="zh-CN"/>
          </w:rPr>
          <w:t>pharmacovigilance@ms.etat.lu</w:t>
        </w:r>
      </w:hyperlink>
      <w:r w:rsidRPr="00955373">
        <w:rPr>
          <w:noProof/>
          <w:lang w:val="fr-FR" w:eastAsia="zh-CN"/>
        </w:rPr>
        <w:t xml:space="preserve"> </w:t>
      </w:r>
    </w:p>
    <w:p w14:paraId="72329D1F" w14:textId="77777777" w:rsidR="0028183F" w:rsidRPr="00955373" w:rsidRDefault="0028183F" w:rsidP="0028183F">
      <w:pPr>
        <w:autoSpaceDE w:val="0"/>
        <w:autoSpaceDN w:val="0"/>
        <w:adjustRightInd w:val="0"/>
        <w:ind w:left="681"/>
        <w:rPr>
          <w:rFonts w:eastAsia="Calibri"/>
          <w:szCs w:val="24"/>
          <w:u w:val="single"/>
          <w:lang w:eastAsia="zh-CN"/>
        </w:rPr>
      </w:pPr>
    </w:p>
    <w:p w14:paraId="1AC2A7A6" w14:textId="77777777" w:rsidR="0028183F" w:rsidRPr="00955373" w:rsidRDefault="0028183F" w:rsidP="0028183F">
      <w:pPr>
        <w:ind w:left="681"/>
        <w:rPr>
          <w:color w:val="1F497D"/>
          <w:szCs w:val="24"/>
        </w:rPr>
      </w:pPr>
      <w:r w:rsidRPr="00955373">
        <w:rPr>
          <w:szCs w:val="24"/>
          <w:lang w:val="fr-CH"/>
        </w:rPr>
        <w:lastRenderedPageBreak/>
        <w:t xml:space="preserve">Link pour le formulaire : </w:t>
      </w:r>
      <w:hyperlink r:id="rId11" w:history="1">
        <w:r w:rsidRPr="00955373">
          <w:rPr>
            <w:rStyle w:val="Hyperlink"/>
            <w:rFonts w:eastAsia="Calibri"/>
            <w:noProof/>
            <w:szCs w:val="24"/>
            <w:lang w:eastAsia="zh-CN"/>
          </w:rPr>
          <w:t>https://guichet.public.lu/fr/entreprises/sectoriel/sante/medecins/notification-effets-indesirables-medicaments.html</w:t>
        </w:r>
      </w:hyperlink>
    </w:p>
    <w:p w14:paraId="2BDD8615" w14:textId="77777777" w:rsidR="0028183F" w:rsidRPr="00BE2ABA" w:rsidRDefault="0028183F" w:rsidP="00BE2ABA">
      <w:pPr>
        <w:tabs>
          <w:tab w:val="left" w:pos="-1440"/>
        </w:tabs>
        <w:ind w:left="681"/>
      </w:pPr>
    </w:p>
    <w:p w14:paraId="4F9942CD" w14:textId="77777777" w:rsidR="001E6CAE" w:rsidRPr="00431949" w:rsidRDefault="001E6CAE">
      <w:pPr>
        <w:pStyle w:val="Heading3"/>
        <w:rPr>
          <w:b/>
          <w:bCs/>
          <w:u w:val="none"/>
          <w:lang w:val="fr-BE"/>
        </w:rPr>
      </w:pPr>
      <w:r w:rsidRPr="00431949">
        <w:rPr>
          <w:b/>
          <w:bCs/>
          <w:u w:val="none"/>
          <w:lang w:val="fr-BE"/>
        </w:rPr>
        <w:t>4.9</w:t>
      </w:r>
      <w:r w:rsidRPr="00431949">
        <w:rPr>
          <w:b/>
          <w:bCs/>
          <w:u w:val="none"/>
          <w:lang w:val="fr-BE"/>
        </w:rPr>
        <w:tab/>
        <w:t>Surdosage</w:t>
      </w:r>
    </w:p>
    <w:p w14:paraId="45A48AD0" w14:textId="77777777" w:rsidR="001E6CAE" w:rsidRPr="00366F31" w:rsidRDefault="001E6CAE">
      <w:pPr>
        <w:ind w:left="681"/>
        <w:rPr>
          <w:lang w:val="fr-BE"/>
        </w:rPr>
      </w:pPr>
    </w:p>
    <w:p w14:paraId="546E2D52" w14:textId="77777777" w:rsidR="001E6CAE" w:rsidRPr="00366F31" w:rsidRDefault="001E6CAE">
      <w:pPr>
        <w:tabs>
          <w:tab w:val="left" w:pos="-1440"/>
        </w:tabs>
        <w:ind w:left="681"/>
      </w:pPr>
      <w:r w:rsidRPr="00366F31">
        <w:t>En cas de surdosage il n'existe pas d'antidote spécifique. Le traitement est symptomatique.</w:t>
      </w:r>
    </w:p>
    <w:p w14:paraId="21CD81E0" w14:textId="77777777" w:rsidR="001E6CAE" w:rsidRPr="00366F31" w:rsidRDefault="001E6CAE">
      <w:pPr>
        <w:tabs>
          <w:tab w:val="left" w:pos="-1440"/>
        </w:tabs>
        <w:ind w:left="681"/>
      </w:pPr>
      <w:r w:rsidRPr="00366F31">
        <w:t xml:space="preserve">Le surdosage peut provoquer les effets systémiques décrits sous la rubrique </w:t>
      </w:r>
      <w:r w:rsidR="00A844CE" w:rsidRPr="00366F31">
        <w:t>4.</w:t>
      </w:r>
      <w:r w:rsidR="00464B40" w:rsidRPr="00366F31">
        <w:t>8</w:t>
      </w:r>
      <w:r w:rsidR="00A844CE" w:rsidRPr="00366F31">
        <w:t>.</w:t>
      </w:r>
    </w:p>
    <w:p w14:paraId="63FC351B" w14:textId="77777777" w:rsidR="001E6CAE" w:rsidRPr="00366F31" w:rsidRDefault="001E6CAE">
      <w:pPr>
        <w:tabs>
          <w:tab w:val="left" w:pos="-1440"/>
        </w:tabs>
        <w:ind w:left="681"/>
        <w:rPr>
          <w:rFonts w:ascii="Univers" w:hAnsi="Univers"/>
        </w:rPr>
      </w:pPr>
    </w:p>
    <w:p w14:paraId="5D8E38A1" w14:textId="77777777" w:rsidR="001E6CAE" w:rsidRPr="00366F31" w:rsidRDefault="001E6CAE">
      <w:pPr>
        <w:pStyle w:val="Heading2"/>
        <w:rPr>
          <w:lang w:val="fr-BE"/>
        </w:rPr>
      </w:pPr>
      <w:r w:rsidRPr="00366F31">
        <w:rPr>
          <w:lang w:val="fr-BE"/>
        </w:rPr>
        <w:t>5.</w:t>
      </w:r>
      <w:r w:rsidRPr="00366F31">
        <w:rPr>
          <w:lang w:val="fr-BE"/>
        </w:rPr>
        <w:tab/>
        <w:t>PROPRIETES PHARMACOLOGIQUES</w:t>
      </w:r>
    </w:p>
    <w:p w14:paraId="341F60F0" w14:textId="77777777" w:rsidR="001E6CAE" w:rsidRPr="00366F31" w:rsidRDefault="001E6CAE">
      <w:pPr>
        <w:ind w:left="681"/>
        <w:rPr>
          <w:lang w:val="fr-BE"/>
        </w:rPr>
      </w:pPr>
    </w:p>
    <w:p w14:paraId="32D6B8F8" w14:textId="77777777" w:rsidR="001E6CAE" w:rsidRPr="00431949" w:rsidRDefault="001E6CAE">
      <w:pPr>
        <w:pStyle w:val="Heading3"/>
        <w:rPr>
          <w:b/>
          <w:bCs/>
          <w:u w:val="none"/>
          <w:lang w:val="fr-BE"/>
        </w:rPr>
      </w:pPr>
      <w:r w:rsidRPr="00431949">
        <w:rPr>
          <w:b/>
          <w:bCs/>
          <w:u w:val="none"/>
          <w:lang w:val="fr-BE"/>
        </w:rPr>
        <w:t>5.1</w:t>
      </w:r>
      <w:r w:rsidRPr="00431949">
        <w:rPr>
          <w:b/>
          <w:bCs/>
          <w:u w:val="none"/>
          <w:lang w:val="fr-BE"/>
        </w:rPr>
        <w:tab/>
        <w:t>Propriétés pharmacodynamiques</w:t>
      </w:r>
    </w:p>
    <w:p w14:paraId="7282DD81" w14:textId="77777777" w:rsidR="001E6CAE" w:rsidRPr="00366F31" w:rsidRDefault="001E6CAE">
      <w:pPr>
        <w:ind w:left="681"/>
        <w:rPr>
          <w:lang w:val="fr-BE"/>
        </w:rPr>
      </w:pPr>
    </w:p>
    <w:p w14:paraId="21788EC8" w14:textId="77777777" w:rsidR="001E6CAE" w:rsidRPr="00366F31" w:rsidRDefault="004D6679">
      <w:pPr>
        <w:ind w:left="681"/>
        <w:rPr>
          <w:lang w:val="fr-BE"/>
        </w:rPr>
      </w:pPr>
      <w:r w:rsidRPr="00366F31">
        <w:rPr>
          <w:lang w:val="fr-BE"/>
        </w:rPr>
        <w:t xml:space="preserve">Classe </w:t>
      </w:r>
      <w:r w:rsidR="001E6CAE" w:rsidRPr="00366F31">
        <w:rPr>
          <w:lang w:val="fr-BE"/>
        </w:rPr>
        <w:t xml:space="preserve">pharmacothérapeutique : </w:t>
      </w:r>
      <w:r w:rsidR="001E6CAE" w:rsidRPr="00366F31">
        <w:rPr>
          <w:caps/>
          <w:lang w:val="fr-BE"/>
        </w:rPr>
        <w:t>Glucocorticoïdes de synthèse</w:t>
      </w:r>
      <w:r w:rsidR="001E6CAE" w:rsidRPr="00366F31">
        <w:rPr>
          <w:lang w:val="fr-BE"/>
        </w:rPr>
        <w:t xml:space="preserve">, </w:t>
      </w:r>
      <w:r w:rsidR="001E6CAE" w:rsidRPr="00366F31">
        <w:rPr>
          <w:lang w:val="fr-BE"/>
        </w:rPr>
        <w:br/>
        <w:t>Code ATC : H02A B08</w:t>
      </w:r>
    </w:p>
    <w:p w14:paraId="290A5E4F" w14:textId="77777777" w:rsidR="001E6CAE" w:rsidRPr="00366F31" w:rsidRDefault="001E6CAE">
      <w:pPr>
        <w:ind w:left="681"/>
      </w:pPr>
    </w:p>
    <w:p w14:paraId="0DD0B366" w14:textId="77777777" w:rsidR="001E6CAE" w:rsidRPr="00366F31" w:rsidRDefault="001E6CAE">
      <w:pPr>
        <w:ind w:left="681"/>
      </w:pPr>
      <w:r w:rsidRPr="00366F31">
        <w:t>L'acétonide de triamcinolone est un glucocorticoïde fluoré ou l'acétonide du 9</w:t>
      </w:r>
      <w:r w:rsidRPr="00366F31">
        <w:noBreakHyphen/>
        <w:t>alpha fluoro</w:t>
      </w:r>
      <w:r w:rsidRPr="00366F31">
        <w:noBreakHyphen/>
        <w:t>16</w:t>
      </w:r>
      <w:r w:rsidRPr="00366F31">
        <w:noBreakHyphen/>
        <w:t>alpha hydroxyprednisolone.</w:t>
      </w:r>
    </w:p>
    <w:p w14:paraId="1A7F1A76" w14:textId="77777777" w:rsidR="001E6CAE" w:rsidRPr="00366F31" w:rsidRDefault="001E6CAE">
      <w:pPr>
        <w:ind w:left="681"/>
      </w:pPr>
      <w:r w:rsidRPr="00366F31">
        <w:t>L'action des glucocorticoïdes sur le métabolisme des hydrates de carbone, des protéines et des lipides accroît la faculté hépatique à générer la glyconéogénèse et augmente les actions cataboliques dans les muscles, la peau, les tissus lymphoïdes adipeux et conjonctifs. Le schéma général de l'action des glucocorticoïdes est une stimulation et une induction de la synthèse des protéines dans le foie et une inhibition de la synthèse des protéines périphériques et de la résorption et de l'utilisation du glucose. Les effets cataboliques sur les muscles, les tissus lymphoïdes, adipeux et conjonctifs semblent se produire par inhibition de la résorption du glucose.  Ces effets cataboliques des glucocorticoïdes produisent une dégradation accrue des protéines et de l'ARN et fournissent des aminoacides pour la gluconéogénèse hépatique.</w:t>
      </w:r>
    </w:p>
    <w:p w14:paraId="1926E282" w14:textId="77777777" w:rsidR="001E6CAE" w:rsidRPr="00366F31" w:rsidRDefault="001E6CAE">
      <w:pPr>
        <w:ind w:left="681"/>
      </w:pPr>
    </w:p>
    <w:p w14:paraId="03CC4D34" w14:textId="77777777" w:rsidR="001E6CAE" w:rsidRPr="00366F31" w:rsidRDefault="001E6CAE">
      <w:pPr>
        <w:ind w:left="681"/>
      </w:pPr>
      <w:r w:rsidRPr="00366F31">
        <w:t>Les corticoïdes</w:t>
      </w:r>
    </w:p>
    <w:p w14:paraId="4FBA6B4D" w14:textId="77777777" w:rsidR="001E6CAE" w:rsidRPr="00366F31" w:rsidRDefault="001E6CAE" w:rsidP="00D83B70">
      <w:pPr>
        <w:numPr>
          <w:ilvl w:val="0"/>
          <w:numId w:val="25"/>
        </w:numPr>
        <w:tabs>
          <w:tab w:val="clear" w:pos="360"/>
          <w:tab w:val="left" w:pos="-1440"/>
          <w:tab w:val="num" w:pos="1041"/>
        </w:tabs>
        <w:ind w:left="1041"/>
      </w:pPr>
      <w:r w:rsidRPr="00366F31">
        <w:t>inhibent l'action du facteur inhibiteur de migration et du facteur chimiotactique; il en résulte une inhibition de l'adhésivité endothéliale des leucocytes et des macrophages.</w:t>
      </w:r>
    </w:p>
    <w:p w14:paraId="3DB357A4" w14:textId="77777777" w:rsidR="001E6CAE" w:rsidRPr="00366F31" w:rsidRDefault="001E6CAE" w:rsidP="00D83B70">
      <w:pPr>
        <w:numPr>
          <w:ilvl w:val="0"/>
          <w:numId w:val="25"/>
        </w:numPr>
        <w:tabs>
          <w:tab w:val="clear" w:pos="360"/>
          <w:tab w:val="left" w:pos="-1440"/>
          <w:tab w:val="num" w:pos="1041"/>
        </w:tabs>
        <w:ind w:left="1041"/>
      </w:pPr>
      <w:r w:rsidRPr="00366F31">
        <w:t>interfèrent avec le pouvoir antigénique des macrophages.</w:t>
      </w:r>
    </w:p>
    <w:p w14:paraId="24361349" w14:textId="77777777" w:rsidR="001E6CAE" w:rsidRPr="00366F31" w:rsidRDefault="001E6CAE" w:rsidP="00D83B70">
      <w:pPr>
        <w:numPr>
          <w:ilvl w:val="0"/>
          <w:numId w:val="25"/>
        </w:numPr>
        <w:tabs>
          <w:tab w:val="clear" w:pos="360"/>
          <w:tab w:val="left" w:pos="-1440"/>
          <w:tab w:val="num" w:pos="1041"/>
        </w:tabs>
        <w:ind w:left="1041"/>
      </w:pPr>
      <w:r w:rsidRPr="00366F31">
        <w:t>stabilisent les membranes des lysosomes.</w:t>
      </w:r>
    </w:p>
    <w:p w14:paraId="498E8FCA" w14:textId="77777777" w:rsidR="001E6CAE" w:rsidRPr="00366F31" w:rsidRDefault="001E6CAE" w:rsidP="00D83B70">
      <w:pPr>
        <w:numPr>
          <w:ilvl w:val="0"/>
          <w:numId w:val="25"/>
        </w:numPr>
        <w:tabs>
          <w:tab w:val="clear" w:pos="360"/>
          <w:tab w:val="left" w:pos="-1440"/>
          <w:tab w:val="num" w:pos="1041"/>
        </w:tabs>
        <w:ind w:left="1041"/>
      </w:pPr>
      <w:r w:rsidRPr="00366F31">
        <w:t>bloquent l'accroissement de la perméabilité capillaire.</w:t>
      </w:r>
    </w:p>
    <w:p w14:paraId="7D2F2207" w14:textId="77777777" w:rsidR="001E6CAE" w:rsidRPr="00366F31" w:rsidRDefault="001E6CAE">
      <w:pPr>
        <w:ind w:left="681"/>
      </w:pPr>
    </w:p>
    <w:p w14:paraId="14396B18" w14:textId="77777777" w:rsidR="001E6CAE" w:rsidRPr="00366F31" w:rsidRDefault="001E6CAE">
      <w:pPr>
        <w:ind w:left="681"/>
      </w:pPr>
      <w:r w:rsidRPr="00366F31">
        <w:t>L'acétonide de triamcinolone n'a pas d'activité minéralocorticoïde.</w:t>
      </w:r>
    </w:p>
    <w:p w14:paraId="79CE37A1" w14:textId="77777777" w:rsidR="001E6CAE" w:rsidRPr="00366F31" w:rsidRDefault="001E6CAE">
      <w:pPr>
        <w:ind w:left="681"/>
      </w:pPr>
      <w:r w:rsidRPr="00366F31">
        <w:t>Il possède une activité anti</w:t>
      </w:r>
      <w:r w:rsidRPr="00366F31">
        <w:noBreakHyphen/>
        <w:t>inflammatoire supérieure à l'hydrocortisone : per os 1 mg d'acétonide de triamcinolone est équivalent à 50 mg d'hydrocortisone.</w:t>
      </w:r>
    </w:p>
    <w:p w14:paraId="7739195D" w14:textId="77777777" w:rsidR="001E6CAE" w:rsidRPr="00366F31" w:rsidRDefault="001E6CAE">
      <w:pPr>
        <w:ind w:left="681"/>
        <w:rPr>
          <w:strike/>
          <w:lang w:val="fr-BE"/>
        </w:rPr>
      </w:pPr>
    </w:p>
    <w:p w14:paraId="648F0AFB" w14:textId="77777777" w:rsidR="001E6CAE" w:rsidRPr="00431949" w:rsidRDefault="001E6CAE">
      <w:pPr>
        <w:pStyle w:val="Heading3"/>
        <w:rPr>
          <w:b/>
          <w:bCs/>
          <w:u w:val="none"/>
          <w:lang w:val="fr-BE"/>
        </w:rPr>
      </w:pPr>
      <w:r w:rsidRPr="00431949">
        <w:rPr>
          <w:b/>
          <w:bCs/>
          <w:u w:val="none"/>
          <w:lang w:val="fr-BE"/>
        </w:rPr>
        <w:t>5.2</w:t>
      </w:r>
      <w:r w:rsidRPr="00431949">
        <w:rPr>
          <w:b/>
          <w:bCs/>
          <w:u w:val="none"/>
          <w:lang w:val="fr-BE"/>
        </w:rPr>
        <w:tab/>
        <w:t>Propriétés pharmacocinétiques</w:t>
      </w:r>
    </w:p>
    <w:p w14:paraId="5EA5254F" w14:textId="77777777" w:rsidR="001E6CAE" w:rsidRPr="00366F31" w:rsidRDefault="001E6CAE">
      <w:pPr>
        <w:ind w:left="681"/>
        <w:rPr>
          <w:lang w:val="fr-BE"/>
        </w:rPr>
      </w:pPr>
    </w:p>
    <w:p w14:paraId="19FAB8A6" w14:textId="77777777" w:rsidR="003A58EA" w:rsidRDefault="003A58EA">
      <w:pPr>
        <w:ind w:left="681"/>
      </w:pPr>
      <w:r w:rsidRPr="00313AA7">
        <w:rPr>
          <w:noProof/>
          <w:szCs w:val="24"/>
          <w:u w:val="single"/>
          <w:lang w:val="fr-BE"/>
        </w:rPr>
        <w:t>Absorption</w:t>
      </w:r>
      <w:r w:rsidRPr="00366F31">
        <w:t xml:space="preserve"> </w:t>
      </w:r>
    </w:p>
    <w:p w14:paraId="009537A5" w14:textId="52080D80" w:rsidR="001E6CAE" w:rsidRPr="00366F31" w:rsidRDefault="001E6CAE">
      <w:pPr>
        <w:ind w:left="681"/>
      </w:pPr>
      <w:r w:rsidRPr="00366F31">
        <w:t>L'acétonide de triamcinolone donne lieu à une absorption systémique complète endéans les 2 à 3 semaines qui suivent l'injection intra</w:t>
      </w:r>
      <w:r w:rsidRPr="00366F31">
        <w:noBreakHyphen/>
        <w:t>articulaire.</w:t>
      </w:r>
    </w:p>
    <w:p w14:paraId="778476A7" w14:textId="77777777" w:rsidR="001E6CAE" w:rsidRPr="00366F31" w:rsidRDefault="001E6CAE">
      <w:pPr>
        <w:ind w:left="681"/>
      </w:pPr>
      <w:r w:rsidRPr="00366F31">
        <w:t xml:space="preserve">La suppression de la sécrétion de l'hydrocortisone endogène est liée aux taux de stéroïde d'origine exogène (voir </w:t>
      </w:r>
      <w:r w:rsidR="001A321F" w:rsidRPr="00366F31">
        <w:t>rubrique 4.4)</w:t>
      </w:r>
      <w:r w:rsidRPr="00366F31">
        <w:t>.</w:t>
      </w:r>
    </w:p>
    <w:p w14:paraId="2FC8C9F9" w14:textId="77777777" w:rsidR="001E6CAE" w:rsidRPr="00366F31" w:rsidRDefault="001E6CAE">
      <w:pPr>
        <w:ind w:left="681"/>
      </w:pPr>
    </w:p>
    <w:p w14:paraId="44F92AA7" w14:textId="77777777" w:rsidR="001E6CAE" w:rsidRPr="00366F31" w:rsidRDefault="001E6CAE">
      <w:pPr>
        <w:ind w:left="681"/>
        <w:rPr>
          <w:rFonts w:ascii="Univers" w:hAnsi="Univers"/>
        </w:rPr>
      </w:pPr>
      <w:r w:rsidRPr="00366F31">
        <w:lastRenderedPageBreak/>
        <w:t>L'injection intradermique comporte en général une dose faible d'acétonide de triamcinolone. Il y a cependant lieu de tenir compte de l'absorption systémique en cas d'utilisation répétée ou de dose importante.</w:t>
      </w:r>
    </w:p>
    <w:p w14:paraId="25E6104D" w14:textId="77777777" w:rsidR="001E6CAE" w:rsidRPr="00366F31" w:rsidRDefault="001E6CAE">
      <w:pPr>
        <w:tabs>
          <w:tab w:val="left" w:pos="600"/>
          <w:tab w:val="left" w:pos="1200"/>
          <w:tab w:val="left" w:pos="1800"/>
          <w:tab w:val="left" w:pos="2400"/>
          <w:tab w:val="left" w:pos="3000"/>
          <w:tab w:val="left" w:pos="3600"/>
          <w:tab w:val="left" w:pos="4200"/>
          <w:tab w:val="left" w:pos="4320"/>
          <w:tab w:val="left" w:pos="4800"/>
          <w:tab w:val="left" w:pos="5400"/>
          <w:tab w:val="left" w:pos="6000"/>
          <w:tab w:val="left" w:pos="6600"/>
          <w:tab w:val="left" w:pos="7200"/>
          <w:tab w:val="left" w:pos="7800"/>
          <w:tab w:val="left" w:pos="8400"/>
        </w:tabs>
        <w:rPr>
          <w:lang w:val="fr-BE"/>
        </w:rPr>
      </w:pPr>
    </w:p>
    <w:p w14:paraId="060C2654" w14:textId="77777777" w:rsidR="001E6CAE" w:rsidRPr="00431949" w:rsidRDefault="001E6CAE">
      <w:pPr>
        <w:pStyle w:val="Heading3"/>
        <w:rPr>
          <w:b/>
          <w:bCs/>
          <w:u w:val="none"/>
          <w:lang w:val="fr-BE"/>
        </w:rPr>
      </w:pPr>
      <w:r w:rsidRPr="00431949">
        <w:rPr>
          <w:b/>
          <w:bCs/>
          <w:u w:val="none"/>
          <w:lang w:val="fr-BE"/>
        </w:rPr>
        <w:t>5.3</w:t>
      </w:r>
      <w:r w:rsidRPr="00431949">
        <w:rPr>
          <w:b/>
          <w:bCs/>
          <w:u w:val="none"/>
          <w:lang w:val="fr-BE"/>
        </w:rPr>
        <w:tab/>
        <w:t>Données de sécurité préclinique</w:t>
      </w:r>
    </w:p>
    <w:p w14:paraId="1B271B84" w14:textId="77777777" w:rsidR="001E6CAE" w:rsidRPr="00366F31" w:rsidRDefault="001E6CAE">
      <w:pPr>
        <w:pStyle w:val="Heading2"/>
        <w:rPr>
          <w:lang w:val="fr-BE"/>
        </w:rPr>
      </w:pPr>
    </w:p>
    <w:p w14:paraId="465756DE" w14:textId="77777777" w:rsidR="001E6CAE" w:rsidRPr="00366F31" w:rsidRDefault="001E6CAE">
      <w:pPr>
        <w:ind w:left="454" w:firstLine="227"/>
        <w:rPr>
          <w:lang w:val="fr-BE"/>
        </w:rPr>
      </w:pPr>
      <w:r w:rsidRPr="00366F31">
        <w:rPr>
          <w:lang w:val="fr-BE"/>
        </w:rPr>
        <w:t>Données non fournies.</w:t>
      </w:r>
    </w:p>
    <w:p w14:paraId="1FAC5A2B" w14:textId="77777777" w:rsidR="001E6CAE" w:rsidRPr="00366F31" w:rsidRDefault="001E6CAE">
      <w:pPr>
        <w:ind w:left="454" w:firstLine="227"/>
        <w:rPr>
          <w:lang w:val="fr-BE"/>
        </w:rPr>
      </w:pPr>
    </w:p>
    <w:p w14:paraId="320BDD18" w14:textId="77777777" w:rsidR="001E6CAE" w:rsidRPr="00366F31" w:rsidRDefault="001E6CAE">
      <w:pPr>
        <w:pStyle w:val="Heading2"/>
        <w:rPr>
          <w:lang w:val="fr-BE"/>
        </w:rPr>
      </w:pPr>
      <w:r w:rsidRPr="00366F31">
        <w:rPr>
          <w:lang w:val="fr-BE"/>
        </w:rPr>
        <w:t>6.</w:t>
      </w:r>
      <w:r w:rsidRPr="00366F31">
        <w:rPr>
          <w:lang w:val="fr-BE"/>
        </w:rPr>
        <w:tab/>
        <w:t>DONNEES PHARMACEUTIQUES</w:t>
      </w:r>
    </w:p>
    <w:p w14:paraId="0C2DA169" w14:textId="77777777" w:rsidR="001E6CAE" w:rsidRPr="00366F31" w:rsidRDefault="001E6CAE">
      <w:pPr>
        <w:rPr>
          <w:lang w:val="fr-BE"/>
        </w:rPr>
      </w:pPr>
    </w:p>
    <w:p w14:paraId="4D95FBC1" w14:textId="77777777" w:rsidR="001E6CAE" w:rsidRPr="00431949" w:rsidRDefault="001E6CAE">
      <w:pPr>
        <w:pStyle w:val="Heading3"/>
        <w:rPr>
          <w:b/>
          <w:bCs/>
          <w:u w:val="none"/>
          <w:lang w:val="fr-BE"/>
        </w:rPr>
      </w:pPr>
      <w:r w:rsidRPr="00431949">
        <w:rPr>
          <w:b/>
          <w:bCs/>
          <w:u w:val="none"/>
          <w:lang w:val="fr-BE"/>
        </w:rPr>
        <w:t>6.1</w:t>
      </w:r>
      <w:r w:rsidRPr="00431949">
        <w:rPr>
          <w:b/>
          <w:bCs/>
          <w:u w:val="none"/>
          <w:lang w:val="fr-BE"/>
        </w:rPr>
        <w:tab/>
        <w:t>Liste des excipients</w:t>
      </w:r>
    </w:p>
    <w:p w14:paraId="0DE80750" w14:textId="77777777" w:rsidR="001E6CAE" w:rsidRPr="00E546D5" w:rsidRDefault="001E6CAE">
      <w:pPr>
        <w:ind w:left="454" w:firstLine="227"/>
        <w:rPr>
          <w:lang w:val="fr-BE"/>
        </w:rPr>
      </w:pPr>
    </w:p>
    <w:p w14:paraId="196D46A1" w14:textId="77777777" w:rsidR="00945DF1" w:rsidRPr="00366F31" w:rsidRDefault="001E6CAE" w:rsidP="00B7293A">
      <w:pPr>
        <w:ind w:left="681"/>
      </w:pPr>
      <w:r w:rsidRPr="00366F31">
        <w:t xml:space="preserve">Carboxyméthylcellulose sodique - chlorure de sodium </w:t>
      </w:r>
      <w:r w:rsidR="006F41A2" w:rsidRPr="00366F31">
        <w:t xml:space="preserve">- </w:t>
      </w:r>
      <w:r w:rsidR="006F41A2">
        <w:t>hydroxyde</w:t>
      </w:r>
      <w:r w:rsidR="00FF68BB">
        <w:t xml:space="preserve"> de sodium – acide chlorhydrique - </w:t>
      </w:r>
      <w:r w:rsidRPr="00366F31">
        <w:t>polysorbate 80 - alcool benzylique</w:t>
      </w:r>
      <w:r w:rsidR="002006E8" w:rsidRPr="00366F31">
        <w:t xml:space="preserve"> (voir Rubrique 2 </w:t>
      </w:r>
      <w:r w:rsidR="00C755CA" w:rsidRPr="00366F31">
        <w:t>et voir Rubrique 4.3</w:t>
      </w:r>
      <w:r w:rsidR="002006E8" w:rsidRPr="00366F31">
        <w:t>)</w:t>
      </w:r>
      <w:r w:rsidRPr="00366F31">
        <w:t xml:space="preserve"> - eau pour injection q.s. ad 1 ml.</w:t>
      </w:r>
    </w:p>
    <w:p w14:paraId="5038660B" w14:textId="2FA6CC60" w:rsidR="001E6CAE" w:rsidRPr="00366F31" w:rsidRDefault="00945DF1" w:rsidP="00521FD9">
      <w:pPr>
        <w:pStyle w:val="Heading3"/>
        <w:ind w:left="284" w:hanging="57"/>
      </w:pPr>
      <w:r w:rsidRPr="00366F31">
        <w:rPr>
          <w:u w:val="none"/>
          <w:lang w:val="fr-BE"/>
        </w:rPr>
        <w:tab/>
      </w:r>
      <w:r w:rsidRPr="00366F31">
        <w:rPr>
          <w:u w:val="none"/>
          <w:lang w:val="fr-BE"/>
        </w:rPr>
        <w:tab/>
      </w:r>
      <w:r w:rsidRPr="00366F31">
        <w:rPr>
          <w:u w:val="none"/>
          <w:lang w:val="fr-BE"/>
        </w:rPr>
        <w:tab/>
      </w:r>
    </w:p>
    <w:p w14:paraId="1EAF934F" w14:textId="77777777" w:rsidR="001E6CAE" w:rsidRPr="00431949" w:rsidRDefault="001E6CAE">
      <w:pPr>
        <w:pStyle w:val="Heading3"/>
        <w:rPr>
          <w:b/>
          <w:bCs/>
          <w:u w:val="none"/>
          <w:lang w:val="fr-BE"/>
        </w:rPr>
      </w:pPr>
      <w:r w:rsidRPr="00431949">
        <w:rPr>
          <w:b/>
          <w:bCs/>
          <w:u w:val="none"/>
          <w:lang w:val="fr-BE"/>
        </w:rPr>
        <w:t>6.2</w:t>
      </w:r>
      <w:r w:rsidRPr="00431949">
        <w:rPr>
          <w:b/>
          <w:bCs/>
          <w:u w:val="none"/>
          <w:lang w:val="fr-BE"/>
        </w:rPr>
        <w:tab/>
        <w:t>Incompatibilités</w:t>
      </w:r>
    </w:p>
    <w:p w14:paraId="50B2F2F9" w14:textId="77777777" w:rsidR="001E6CAE" w:rsidRPr="00366F31" w:rsidRDefault="001E6CAE">
      <w:pPr>
        <w:ind w:left="681"/>
        <w:rPr>
          <w:lang w:val="fr-BE"/>
        </w:rPr>
      </w:pPr>
    </w:p>
    <w:p w14:paraId="7C2019EA" w14:textId="77777777" w:rsidR="001E6CAE" w:rsidRPr="00366F31" w:rsidRDefault="001E6CAE">
      <w:pPr>
        <w:tabs>
          <w:tab w:val="left" w:pos="-1440"/>
        </w:tabs>
        <w:ind w:left="681"/>
      </w:pPr>
      <w:r w:rsidRPr="00366F31">
        <w:t xml:space="preserve">La suspension stérile d’acétonide de triamcinolone ne doit pas être mélangée à des préparations parentérales d’anesthésiques locaux contenant des conservateurs tels que les </w:t>
      </w:r>
      <w:r w:rsidR="006F41A2" w:rsidRPr="00366F31">
        <w:t>parabènes</w:t>
      </w:r>
      <w:r w:rsidRPr="00366F31">
        <w:t xml:space="preserve"> ou le phénol, qui peuvent faire floculer le corticoïde.</w:t>
      </w:r>
    </w:p>
    <w:p w14:paraId="768F0F94" w14:textId="77777777" w:rsidR="001E6CAE" w:rsidRPr="00366F31" w:rsidRDefault="001E6CAE">
      <w:pPr>
        <w:ind w:left="681"/>
        <w:rPr>
          <w:lang w:val="fr-BE"/>
        </w:rPr>
      </w:pPr>
    </w:p>
    <w:p w14:paraId="69559E6B" w14:textId="77777777" w:rsidR="001E6CAE" w:rsidRPr="00431949" w:rsidRDefault="001E6CAE">
      <w:pPr>
        <w:pStyle w:val="Heading3"/>
        <w:rPr>
          <w:b/>
          <w:bCs/>
          <w:u w:val="none"/>
          <w:lang w:val="fr-BE"/>
        </w:rPr>
      </w:pPr>
      <w:r w:rsidRPr="00431949">
        <w:rPr>
          <w:b/>
          <w:bCs/>
          <w:u w:val="none"/>
          <w:lang w:val="fr-BE"/>
        </w:rPr>
        <w:t>6.3</w:t>
      </w:r>
      <w:r w:rsidRPr="00431949">
        <w:rPr>
          <w:b/>
          <w:bCs/>
          <w:u w:val="none"/>
          <w:lang w:val="fr-BE"/>
        </w:rPr>
        <w:tab/>
        <w:t>Durée de conservation</w:t>
      </w:r>
    </w:p>
    <w:p w14:paraId="14AB603E" w14:textId="77777777" w:rsidR="001E6CAE" w:rsidRPr="00366F31" w:rsidRDefault="001E6CAE">
      <w:pPr>
        <w:ind w:left="681"/>
        <w:rPr>
          <w:lang w:val="fr-BE"/>
        </w:rPr>
      </w:pPr>
    </w:p>
    <w:p w14:paraId="0D97D72F" w14:textId="77777777" w:rsidR="001E6CAE" w:rsidRPr="00366F31" w:rsidRDefault="001E6CAE">
      <w:pPr>
        <w:ind w:left="681"/>
      </w:pPr>
      <w:r w:rsidRPr="00366F31">
        <w:t>3 ans.</w:t>
      </w:r>
    </w:p>
    <w:p w14:paraId="1526E372" w14:textId="77777777" w:rsidR="001E6CAE" w:rsidRPr="00366F31" w:rsidRDefault="001E6CAE">
      <w:pPr>
        <w:ind w:left="681"/>
        <w:rPr>
          <w:lang w:val="fr-BE"/>
        </w:rPr>
      </w:pPr>
    </w:p>
    <w:p w14:paraId="0FF036D4" w14:textId="77777777" w:rsidR="001E6CAE" w:rsidRPr="00431949" w:rsidRDefault="001E6CAE">
      <w:pPr>
        <w:pStyle w:val="Heading3"/>
        <w:rPr>
          <w:b/>
          <w:bCs/>
          <w:u w:val="none"/>
          <w:lang w:val="fr-BE"/>
        </w:rPr>
      </w:pPr>
      <w:r w:rsidRPr="00431949">
        <w:rPr>
          <w:b/>
          <w:bCs/>
          <w:u w:val="none"/>
          <w:lang w:val="fr-BE"/>
        </w:rPr>
        <w:t>6.4</w:t>
      </w:r>
      <w:r w:rsidRPr="00431949">
        <w:rPr>
          <w:b/>
          <w:bCs/>
          <w:u w:val="none"/>
          <w:lang w:val="fr-BE"/>
        </w:rPr>
        <w:tab/>
        <w:t>Précautions particulières de conservation</w:t>
      </w:r>
    </w:p>
    <w:p w14:paraId="0D740F27" w14:textId="77777777" w:rsidR="001E6CAE" w:rsidRPr="00366F31" w:rsidRDefault="001E6CAE">
      <w:pPr>
        <w:ind w:left="681"/>
        <w:rPr>
          <w:lang w:val="fr-BE"/>
        </w:rPr>
      </w:pPr>
    </w:p>
    <w:p w14:paraId="3875FE1F" w14:textId="77777777" w:rsidR="009330E6" w:rsidRPr="00974B44" w:rsidRDefault="009330E6" w:rsidP="009330E6">
      <w:pPr>
        <w:suppressAutoHyphens/>
        <w:ind w:left="681"/>
        <w:rPr>
          <w:szCs w:val="24"/>
        </w:rPr>
      </w:pPr>
      <w:r w:rsidRPr="00974B44">
        <w:rPr>
          <w:szCs w:val="24"/>
        </w:rPr>
        <w:t xml:space="preserve">A conserver à une température ne dépassant pas 30°C dans l’emballage extérieur d’origine. </w:t>
      </w:r>
    </w:p>
    <w:p w14:paraId="21A2B285" w14:textId="77777777" w:rsidR="00431949" w:rsidRPr="00974B44" w:rsidRDefault="009330E6" w:rsidP="009330E6">
      <w:pPr>
        <w:suppressAutoHyphens/>
        <w:ind w:left="681"/>
        <w:rPr>
          <w:szCs w:val="24"/>
          <w:lang w:val="fr-BE"/>
        </w:rPr>
      </w:pPr>
      <w:r w:rsidRPr="00974B44">
        <w:rPr>
          <w:szCs w:val="24"/>
        </w:rPr>
        <w:t>Ne pas congeler.</w:t>
      </w:r>
    </w:p>
    <w:p w14:paraId="79A76830" w14:textId="77777777" w:rsidR="001E6CAE" w:rsidRPr="00366F31" w:rsidRDefault="001E6CAE" w:rsidP="005318EA">
      <w:pPr>
        <w:ind w:left="681"/>
        <w:rPr>
          <w:lang w:val="fr-BE"/>
        </w:rPr>
      </w:pPr>
    </w:p>
    <w:p w14:paraId="2654EB68" w14:textId="77777777" w:rsidR="001E6CAE" w:rsidRPr="00431949" w:rsidRDefault="001E6CAE">
      <w:pPr>
        <w:pStyle w:val="Heading3"/>
        <w:rPr>
          <w:b/>
          <w:bCs/>
          <w:u w:val="none"/>
          <w:lang w:val="fr-BE"/>
        </w:rPr>
      </w:pPr>
      <w:r w:rsidRPr="00431949">
        <w:rPr>
          <w:b/>
          <w:bCs/>
          <w:u w:val="none"/>
          <w:lang w:val="fr-BE"/>
        </w:rPr>
        <w:t>6.5</w:t>
      </w:r>
      <w:r w:rsidRPr="00431949">
        <w:rPr>
          <w:b/>
          <w:bCs/>
          <w:u w:val="none"/>
          <w:lang w:val="fr-BE"/>
        </w:rPr>
        <w:tab/>
        <w:t>Nature et contenu de l’emballage extérieur</w:t>
      </w:r>
    </w:p>
    <w:p w14:paraId="22D7B2E6" w14:textId="77777777" w:rsidR="001E6CAE" w:rsidRPr="00366F31" w:rsidRDefault="001E6CAE">
      <w:pPr>
        <w:ind w:left="681"/>
        <w:rPr>
          <w:lang w:val="fr-BE"/>
        </w:rPr>
      </w:pPr>
    </w:p>
    <w:p w14:paraId="47F6EB49" w14:textId="77777777" w:rsidR="00E546D5" w:rsidRPr="00454E91" w:rsidRDefault="00E546D5" w:rsidP="00E546D5">
      <w:pPr>
        <w:ind w:left="357"/>
        <w:rPr>
          <w:szCs w:val="24"/>
        </w:rPr>
      </w:pPr>
      <w:r w:rsidRPr="00366F31">
        <w:rPr>
          <w:lang w:val="fr-BE"/>
        </w:rPr>
        <w:t>Kenacort-A 10 mg/ml</w:t>
      </w:r>
      <w:r w:rsidRPr="00454E91">
        <w:rPr>
          <w:szCs w:val="24"/>
        </w:rPr>
        <w:t xml:space="preserve"> est emballé dans un flacon </w:t>
      </w:r>
      <w:r w:rsidR="00E8698C">
        <w:rPr>
          <w:szCs w:val="24"/>
        </w:rPr>
        <w:t>de 5 ml, en</w:t>
      </w:r>
      <w:r>
        <w:rPr>
          <w:szCs w:val="24"/>
        </w:rPr>
        <w:t xml:space="preserve"> verre incolore </w:t>
      </w:r>
      <w:r w:rsidR="00E8698C">
        <w:rPr>
          <w:szCs w:val="24"/>
        </w:rPr>
        <w:t>type I</w:t>
      </w:r>
      <w:r w:rsidRPr="00454E91">
        <w:rPr>
          <w:szCs w:val="24"/>
        </w:rPr>
        <w:t xml:space="preserve">, </w:t>
      </w:r>
      <w:r>
        <w:rPr>
          <w:szCs w:val="24"/>
        </w:rPr>
        <w:t>muni d’</w:t>
      </w:r>
      <w:r w:rsidRPr="00454E91">
        <w:rPr>
          <w:szCs w:val="24"/>
        </w:rPr>
        <w:t>un bouchon en caoutchouc</w:t>
      </w:r>
      <w:r>
        <w:rPr>
          <w:szCs w:val="24"/>
        </w:rPr>
        <w:t xml:space="preserve"> chlorobutyle et</w:t>
      </w:r>
      <w:r w:rsidRPr="00454E91">
        <w:rPr>
          <w:szCs w:val="24"/>
        </w:rPr>
        <w:t xml:space="preserve"> </w:t>
      </w:r>
      <w:r w:rsidRPr="002A741F">
        <w:rPr>
          <w:szCs w:val="24"/>
        </w:rPr>
        <w:t xml:space="preserve">d’un système </w:t>
      </w:r>
      <w:r>
        <w:rPr>
          <w:szCs w:val="24"/>
        </w:rPr>
        <w:t xml:space="preserve">amovible </w:t>
      </w:r>
      <w:r w:rsidRPr="002A741F">
        <w:rPr>
          <w:szCs w:val="24"/>
        </w:rPr>
        <w:t xml:space="preserve">de fermeture en aluminium </w:t>
      </w:r>
      <w:r>
        <w:rPr>
          <w:szCs w:val="24"/>
        </w:rPr>
        <w:t xml:space="preserve">vert. </w:t>
      </w:r>
    </w:p>
    <w:p w14:paraId="66AD1F2B" w14:textId="77777777" w:rsidR="001E6CAE" w:rsidRPr="00E8698C" w:rsidRDefault="001E6CAE">
      <w:pPr>
        <w:ind w:left="681"/>
        <w:rPr>
          <w:lang w:val="fr-BE"/>
        </w:rPr>
      </w:pPr>
    </w:p>
    <w:p w14:paraId="5D8EB0FA" w14:textId="77777777" w:rsidR="001E6CAE" w:rsidRPr="00431949" w:rsidRDefault="001E6CAE">
      <w:pPr>
        <w:pStyle w:val="Heading3"/>
        <w:rPr>
          <w:b/>
          <w:bCs/>
          <w:u w:val="none"/>
          <w:lang w:val="fr-BE"/>
        </w:rPr>
      </w:pPr>
      <w:r w:rsidRPr="00431949">
        <w:rPr>
          <w:b/>
          <w:bCs/>
          <w:u w:val="none"/>
          <w:lang w:val="fr-BE"/>
        </w:rPr>
        <w:t>6.6</w:t>
      </w:r>
      <w:r w:rsidRPr="00431949">
        <w:rPr>
          <w:b/>
          <w:bCs/>
          <w:u w:val="none"/>
          <w:lang w:val="fr-BE"/>
        </w:rPr>
        <w:tab/>
      </w:r>
      <w:r w:rsidR="00E379BB" w:rsidRPr="00431949">
        <w:rPr>
          <w:b/>
          <w:bCs/>
          <w:noProof/>
          <w:u w:val="none"/>
        </w:rPr>
        <w:t xml:space="preserve">Précautions particulières d’élimination </w:t>
      </w:r>
      <w:r w:rsidR="00E379BB" w:rsidRPr="00431949">
        <w:rPr>
          <w:b/>
          <w:bCs/>
          <w:u w:val="none"/>
        </w:rPr>
        <w:t>et manipulation</w:t>
      </w:r>
    </w:p>
    <w:p w14:paraId="46284ED2" w14:textId="77777777" w:rsidR="001E6CAE" w:rsidRPr="00366F31" w:rsidRDefault="001E6CAE">
      <w:pPr>
        <w:ind w:left="681"/>
        <w:rPr>
          <w:lang w:val="fr-BE"/>
        </w:rPr>
      </w:pPr>
    </w:p>
    <w:p w14:paraId="1364ACA0" w14:textId="77777777" w:rsidR="001E6CAE" w:rsidRDefault="009330E6" w:rsidP="00593CCF">
      <w:pPr>
        <w:ind w:left="227" w:firstLine="227"/>
        <w:rPr>
          <w:lang w:val="fr-BE"/>
        </w:rPr>
      </w:pPr>
      <w:r w:rsidRPr="009330E6">
        <w:rPr>
          <w:lang w:val="fr-BE"/>
        </w:rPr>
        <w:t>Usage unique.</w:t>
      </w:r>
    </w:p>
    <w:p w14:paraId="183F43E7" w14:textId="77777777" w:rsidR="009330E6" w:rsidRDefault="00D95678" w:rsidP="00593CCF">
      <w:pPr>
        <w:ind w:left="454"/>
      </w:pPr>
      <w:r w:rsidRPr="00A302F5">
        <w:t>Tout médicament non utilisé ou déchet doit être éliminé conformément à la réglementation en vigueur</w:t>
      </w:r>
      <w:r>
        <w:t>.</w:t>
      </w:r>
    </w:p>
    <w:p w14:paraId="4E1CBD39" w14:textId="77777777" w:rsidR="004D7DBF" w:rsidRDefault="004D7DBF" w:rsidP="00593CCF">
      <w:pPr>
        <w:ind w:left="227" w:firstLine="227"/>
        <w:rPr>
          <w:rFonts w:ascii="Univers" w:hAnsi="Univers"/>
        </w:rPr>
      </w:pPr>
      <w:r w:rsidRPr="00A302F5">
        <w:t>Pas d’exigences particulières pour l’élimination</w:t>
      </w:r>
      <w:r>
        <w:t>.</w:t>
      </w:r>
    </w:p>
    <w:p w14:paraId="3F941869" w14:textId="77777777" w:rsidR="009330E6" w:rsidRPr="00366F31" w:rsidRDefault="009330E6">
      <w:pPr>
        <w:rPr>
          <w:rFonts w:ascii="Univers" w:hAnsi="Univers"/>
        </w:rPr>
      </w:pPr>
    </w:p>
    <w:p w14:paraId="2F7952C8" w14:textId="77777777" w:rsidR="001E6CAE" w:rsidRPr="00366F31" w:rsidRDefault="001E6CAE">
      <w:pPr>
        <w:rPr>
          <w:rFonts w:ascii="Univers" w:hAnsi="Univers"/>
        </w:rPr>
      </w:pPr>
    </w:p>
    <w:p w14:paraId="5C6985F1" w14:textId="77777777" w:rsidR="001E6CAE" w:rsidRPr="00366F31" w:rsidRDefault="001E6CAE">
      <w:pPr>
        <w:pStyle w:val="Heading2"/>
        <w:rPr>
          <w:lang w:val="fr-BE"/>
        </w:rPr>
      </w:pPr>
      <w:r w:rsidRPr="00366F31">
        <w:rPr>
          <w:lang w:val="fr-BE"/>
        </w:rPr>
        <w:t>7.</w:t>
      </w:r>
      <w:r w:rsidRPr="00366F31">
        <w:rPr>
          <w:lang w:val="fr-BE"/>
        </w:rPr>
        <w:tab/>
        <w:t>TITULAIRE DE L’AUTORISATION DE MISE SUR LE MARCHE</w:t>
      </w:r>
    </w:p>
    <w:p w14:paraId="57444CBC" w14:textId="77777777" w:rsidR="001E6CAE" w:rsidRPr="00366F31" w:rsidRDefault="001E6CAE">
      <w:pPr>
        <w:ind w:left="227"/>
        <w:rPr>
          <w:lang w:val="fr-BE"/>
        </w:rPr>
      </w:pPr>
    </w:p>
    <w:p w14:paraId="7240AE7F" w14:textId="77777777" w:rsidR="001E6CAE" w:rsidRPr="003E5916" w:rsidRDefault="0026477B">
      <w:pPr>
        <w:ind w:left="227"/>
        <w:rPr>
          <w:lang w:val="en-US"/>
        </w:rPr>
      </w:pPr>
      <w:r w:rsidRPr="003E5916">
        <w:rPr>
          <w:lang w:val="en-US"/>
        </w:rPr>
        <w:t>Bristol-Myers Squibb Belgium S.A.</w:t>
      </w:r>
    </w:p>
    <w:p w14:paraId="3673350D" w14:textId="77777777" w:rsidR="001E6CAE" w:rsidRPr="00366F31" w:rsidRDefault="001E6CAE">
      <w:pPr>
        <w:ind w:left="227"/>
        <w:rPr>
          <w:lang w:val="fr-BE"/>
        </w:rPr>
      </w:pPr>
      <w:r w:rsidRPr="00366F31">
        <w:rPr>
          <w:lang w:val="fr-BE"/>
        </w:rPr>
        <w:t>Chaussée de La Hulpe, 185</w:t>
      </w:r>
    </w:p>
    <w:p w14:paraId="7CC6F163" w14:textId="77777777" w:rsidR="001E6CAE" w:rsidRPr="00366F31" w:rsidRDefault="001E6CAE">
      <w:pPr>
        <w:ind w:left="227"/>
        <w:rPr>
          <w:lang w:val="fr-BE"/>
        </w:rPr>
      </w:pPr>
      <w:r w:rsidRPr="00366F31">
        <w:rPr>
          <w:lang w:val="fr-BE"/>
        </w:rPr>
        <w:t>1170 BRUXELLES</w:t>
      </w:r>
    </w:p>
    <w:p w14:paraId="77274F9C" w14:textId="77777777" w:rsidR="001E6CAE" w:rsidRPr="00366F31" w:rsidRDefault="001E6CAE">
      <w:pPr>
        <w:pStyle w:val="Heading2"/>
        <w:rPr>
          <w:lang w:val="fr-BE"/>
        </w:rPr>
      </w:pPr>
    </w:p>
    <w:p w14:paraId="3A25FC33" w14:textId="77777777" w:rsidR="001E6CAE" w:rsidRPr="00366F31" w:rsidRDefault="001E6CAE">
      <w:pPr>
        <w:pStyle w:val="Heading2"/>
        <w:rPr>
          <w:lang w:val="fr-BE"/>
        </w:rPr>
      </w:pPr>
      <w:r w:rsidRPr="00366F31">
        <w:rPr>
          <w:lang w:val="fr-BE"/>
        </w:rPr>
        <w:t>8.</w:t>
      </w:r>
      <w:r w:rsidRPr="00366F31">
        <w:rPr>
          <w:lang w:val="fr-BE"/>
        </w:rPr>
        <w:tab/>
        <w:t>NUMERO D’AUTORISATION DE MISE SUR LE MARCHE</w:t>
      </w:r>
    </w:p>
    <w:p w14:paraId="5E48F2FD" w14:textId="77777777" w:rsidR="001E6CAE" w:rsidRPr="00366F31" w:rsidRDefault="001E6CAE">
      <w:pPr>
        <w:ind w:left="227" w:hanging="227"/>
        <w:rPr>
          <w:lang w:val="fr-BE"/>
        </w:rPr>
      </w:pPr>
    </w:p>
    <w:p w14:paraId="2F9EB22C" w14:textId="77777777" w:rsidR="001E6CAE" w:rsidRPr="00366F31" w:rsidRDefault="001E6CAE">
      <w:pPr>
        <w:ind w:left="227"/>
        <w:rPr>
          <w:lang w:val="en-US"/>
        </w:rPr>
      </w:pPr>
      <w:r w:rsidRPr="00366F31">
        <w:rPr>
          <w:lang w:val="en-US"/>
        </w:rPr>
        <w:t xml:space="preserve">Kenacort-A 10 mg/ml: </w:t>
      </w:r>
      <w:r w:rsidR="00674FDB" w:rsidRPr="00366F31">
        <w:rPr>
          <w:lang w:val="en-US"/>
        </w:rPr>
        <w:t>BE 049156</w:t>
      </w:r>
      <w:r w:rsidR="00F93F3C" w:rsidRPr="00366F31">
        <w:rPr>
          <w:lang w:val="en-US"/>
        </w:rPr>
        <w:t xml:space="preserve"> </w:t>
      </w:r>
      <w:r w:rsidRPr="00366F31">
        <w:rPr>
          <w:lang w:val="en-US"/>
        </w:rPr>
        <w:t xml:space="preserve"> </w:t>
      </w:r>
    </w:p>
    <w:p w14:paraId="762608CA" w14:textId="77777777" w:rsidR="001E6CAE" w:rsidRPr="00366F31" w:rsidRDefault="001E6CAE">
      <w:pPr>
        <w:rPr>
          <w:lang w:val="en-US"/>
        </w:rPr>
      </w:pPr>
    </w:p>
    <w:p w14:paraId="2C2C202D" w14:textId="77777777" w:rsidR="001E6CAE" w:rsidRPr="00366F31" w:rsidRDefault="001E6CAE">
      <w:pPr>
        <w:rPr>
          <w:lang w:val="en-GB"/>
        </w:rPr>
      </w:pPr>
    </w:p>
    <w:p w14:paraId="33DB1C50" w14:textId="77777777" w:rsidR="001E6CAE" w:rsidRPr="00366F31" w:rsidRDefault="00674FDB">
      <w:pPr>
        <w:pStyle w:val="Heading2"/>
        <w:ind w:left="0" w:firstLine="0"/>
        <w:rPr>
          <w:lang w:val="fr-BE"/>
        </w:rPr>
      </w:pPr>
      <w:r w:rsidRPr="00366F31">
        <w:rPr>
          <w:lang w:val="fr-BE"/>
        </w:rPr>
        <w:t>9</w:t>
      </w:r>
      <w:r w:rsidR="001E6CAE" w:rsidRPr="00366F31">
        <w:rPr>
          <w:lang w:val="fr-BE"/>
        </w:rPr>
        <w:t>.</w:t>
      </w:r>
      <w:r w:rsidR="001E6CAE" w:rsidRPr="00366F31">
        <w:rPr>
          <w:caps/>
          <w:lang w:val="fr-BE"/>
        </w:rPr>
        <w:t>Date de PREMIERE AUTORISATION/ DE RENOUVELLEMENT DE L’AUTORISATION</w:t>
      </w:r>
    </w:p>
    <w:p w14:paraId="77DA0B37" w14:textId="77777777" w:rsidR="001E6CAE" w:rsidRPr="00366F31" w:rsidRDefault="001E6CAE">
      <w:pPr>
        <w:rPr>
          <w:lang w:val="fr-BE"/>
        </w:rPr>
      </w:pPr>
    </w:p>
    <w:p w14:paraId="02ED3B3D" w14:textId="77777777" w:rsidR="001E6CAE" w:rsidRPr="00366F31" w:rsidRDefault="001E6CAE">
      <w:pPr>
        <w:numPr>
          <w:ilvl w:val="0"/>
          <w:numId w:val="1"/>
        </w:numPr>
        <w:rPr>
          <w:lang w:val="fr-BE"/>
        </w:rPr>
      </w:pPr>
      <w:r w:rsidRPr="00366F31">
        <w:rPr>
          <w:lang w:val="fr-BE"/>
        </w:rPr>
        <w:t>Date de première autorisation : 01.06.1962</w:t>
      </w:r>
    </w:p>
    <w:p w14:paraId="6206492F" w14:textId="77777777" w:rsidR="001E6CAE" w:rsidRPr="00366F31" w:rsidRDefault="001E6CAE">
      <w:pPr>
        <w:numPr>
          <w:ilvl w:val="0"/>
          <w:numId w:val="1"/>
        </w:numPr>
        <w:rPr>
          <w:lang w:val="fr-BE"/>
        </w:rPr>
      </w:pPr>
      <w:r w:rsidRPr="00366F31">
        <w:rPr>
          <w:lang w:val="fr-BE"/>
        </w:rPr>
        <w:t xml:space="preserve">Date de renouvellement de l’autorisation : </w:t>
      </w:r>
      <w:r w:rsidR="00020700" w:rsidRPr="00366F31">
        <w:rPr>
          <w:lang w:val="fr-BE"/>
        </w:rPr>
        <w:t>18.07</w:t>
      </w:r>
      <w:r w:rsidRPr="00366F31">
        <w:rPr>
          <w:lang w:val="fr-BE"/>
        </w:rPr>
        <w:t xml:space="preserve">.2004 </w:t>
      </w:r>
    </w:p>
    <w:p w14:paraId="2632687E" w14:textId="77777777" w:rsidR="001E6CAE" w:rsidRPr="00366F31" w:rsidRDefault="001E6CAE">
      <w:pPr>
        <w:pStyle w:val="Heading2"/>
        <w:ind w:left="0" w:firstLine="0"/>
        <w:rPr>
          <w:caps/>
          <w:lang w:val="fr-BE"/>
        </w:rPr>
      </w:pPr>
    </w:p>
    <w:p w14:paraId="76DF8123" w14:textId="77777777" w:rsidR="001E6CAE" w:rsidRPr="00366F31" w:rsidRDefault="00674FDB">
      <w:pPr>
        <w:pStyle w:val="Heading2"/>
        <w:ind w:left="0" w:firstLine="0"/>
        <w:rPr>
          <w:lang w:val="fr-BE"/>
        </w:rPr>
      </w:pPr>
      <w:r w:rsidRPr="00366F31">
        <w:rPr>
          <w:lang w:val="fr-BE"/>
        </w:rPr>
        <w:t>10</w:t>
      </w:r>
      <w:r w:rsidR="00E379BB" w:rsidRPr="00366F31">
        <w:rPr>
          <w:lang w:val="fr-BE"/>
        </w:rPr>
        <w:t xml:space="preserve">. </w:t>
      </w:r>
      <w:r w:rsidRPr="00366F31">
        <w:rPr>
          <w:lang w:val="fr-BE"/>
        </w:rPr>
        <w:t>DATE DE MISE A JOUR DU TEXT</w:t>
      </w:r>
      <w:r w:rsidR="007C7B13" w:rsidRPr="00366F31">
        <w:rPr>
          <w:lang w:val="fr-BE"/>
        </w:rPr>
        <w:t>E</w:t>
      </w:r>
    </w:p>
    <w:p w14:paraId="776A13F9" w14:textId="77777777" w:rsidR="00593CCF" w:rsidRDefault="00593CCF" w:rsidP="00D95678"/>
    <w:p w14:paraId="3B8D25D4" w14:textId="2F88E27E" w:rsidR="00020700" w:rsidRPr="00D95678" w:rsidRDefault="00020700" w:rsidP="00D95678">
      <w:pPr>
        <w:rPr>
          <w:lang w:val="fr-BE"/>
        </w:rPr>
      </w:pPr>
      <w:r w:rsidRPr="00D95678">
        <w:rPr>
          <w:lang w:val="fr-BE"/>
        </w:rPr>
        <w:t xml:space="preserve">Date d’approbation du texte : </w:t>
      </w:r>
      <w:r w:rsidR="00136FB9">
        <w:rPr>
          <w:lang w:val="fr-BE"/>
        </w:rPr>
        <w:t>10</w:t>
      </w:r>
      <w:r w:rsidR="00431949" w:rsidRPr="00D95678">
        <w:rPr>
          <w:lang w:val="fr-BE"/>
        </w:rPr>
        <w:t>/</w:t>
      </w:r>
      <w:r w:rsidR="0028183F" w:rsidRPr="00D95678">
        <w:rPr>
          <w:lang w:val="fr-BE"/>
        </w:rPr>
        <w:t>202</w:t>
      </w:r>
      <w:r w:rsidR="0028183F">
        <w:rPr>
          <w:lang w:val="fr-BE"/>
        </w:rPr>
        <w:t>1</w:t>
      </w:r>
      <w:r w:rsidR="00431949" w:rsidRPr="00D95678">
        <w:rPr>
          <w:lang w:val="fr-BE"/>
        </w:rPr>
        <w:t>.</w:t>
      </w:r>
    </w:p>
    <w:p w14:paraId="30F0FEEC" w14:textId="77777777" w:rsidR="00674FDB" w:rsidRDefault="00674FDB" w:rsidP="00674FDB">
      <w:pPr>
        <w:rPr>
          <w:lang w:val="fr-BE"/>
        </w:rPr>
      </w:pPr>
    </w:p>
    <w:p w14:paraId="28707376" w14:textId="77777777" w:rsidR="00674FDB" w:rsidRDefault="00674FDB" w:rsidP="00674FDB">
      <w:pPr>
        <w:rPr>
          <w:lang w:val="fr-BE"/>
        </w:rPr>
      </w:pPr>
    </w:p>
    <w:p w14:paraId="7D0A3388" w14:textId="77777777" w:rsidR="00674FDB" w:rsidRDefault="00674FDB" w:rsidP="00674FDB">
      <w:pPr>
        <w:pStyle w:val="Heading2"/>
        <w:ind w:left="-142" w:firstLine="142"/>
        <w:rPr>
          <w:lang w:val="fr-BE"/>
        </w:rPr>
      </w:pPr>
    </w:p>
    <w:sectPr w:rsidR="00674FDB" w:rsidSect="00CD3C2D">
      <w:headerReference w:type="default" r:id="rId12"/>
      <w:footerReference w:type="default" r:id="rId13"/>
      <w:pgSz w:w="11900" w:h="16840" w:code="9"/>
      <w:pgMar w:top="1138" w:right="1411" w:bottom="1411" w:left="1411"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0729" w14:textId="77777777" w:rsidR="0037470B" w:rsidRDefault="0037470B">
      <w:r>
        <w:separator/>
      </w:r>
    </w:p>
  </w:endnote>
  <w:endnote w:type="continuationSeparator" w:id="0">
    <w:p w14:paraId="73A81CFA" w14:textId="77777777" w:rsidR="0037470B" w:rsidRDefault="0037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0B10" w14:textId="77777777" w:rsidR="0037470B" w:rsidRDefault="0037470B">
    <w:pPr>
      <w:pStyle w:val="Footer"/>
      <w:jc w:val="center"/>
      <w:rPr>
        <w:i w:val="0"/>
        <w:sz w:val="24"/>
      </w:rPr>
    </w:pPr>
    <w:r>
      <w:rPr>
        <w:i w:val="0"/>
        <w:snapToGrid w:val="0"/>
        <w:sz w:val="24"/>
      </w:rPr>
      <w:t xml:space="preserve">- </w:t>
    </w:r>
    <w:r>
      <w:rPr>
        <w:i w:val="0"/>
        <w:snapToGrid w:val="0"/>
        <w:sz w:val="24"/>
      </w:rPr>
      <w:fldChar w:fldCharType="begin"/>
    </w:r>
    <w:r>
      <w:rPr>
        <w:i w:val="0"/>
        <w:snapToGrid w:val="0"/>
        <w:sz w:val="24"/>
      </w:rPr>
      <w:instrText xml:space="preserve"> PAGE </w:instrText>
    </w:r>
    <w:r>
      <w:rPr>
        <w:i w:val="0"/>
        <w:snapToGrid w:val="0"/>
        <w:sz w:val="24"/>
      </w:rPr>
      <w:fldChar w:fldCharType="separate"/>
    </w:r>
    <w:r>
      <w:rPr>
        <w:i w:val="0"/>
        <w:noProof/>
        <w:snapToGrid w:val="0"/>
        <w:sz w:val="24"/>
      </w:rPr>
      <w:t>17</w:t>
    </w:r>
    <w:r>
      <w:rPr>
        <w:i w:val="0"/>
        <w:snapToGrid w:val="0"/>
        <w:sz w:val="24"/>
      </w:rPr>
      <w:fldChar w:fldCharType="end"/>
    </w:r>
    <w:r>
      <w:rPr>
        <w:i w:val="0"/>
        <w:snapToGrid w:val="0"/>
        <w:sz w:val="24"/>
      </w:rPr>
      <w:t xml:space="preserve"> -</w:t>
    </w:r>
  </w:p>
  <w:p w14:paraId="657F204E" w14:textId="77777777" w:rsidR="0037470B" w:rsidRDefault="0037470B">
    <w:pPr>
      <w:pStyle w:val="Footer"/>
      <w:rPr>
        <w:i w:val="0"/>
        <w:sz w:val="16"/>
      </w:rPr>
    </w:pPr>
    <w:r>
      <w:rPr>
        <w:i w:val="0"/>
        <w:sz w:val="16"/>
      </w:rPr>
      <w:t>KENACORT-A 10-RCP.doc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D50E" w14:textId="77777777" w:rsidR="0037470B" w:rsidRDefault="0037470B">
      <w:r>
        <w:separator/>
      </w:r>
    </w:p>
  </w:footnote>
  <w:footnote w:type="continuationSeparator" w:id="0">
    <w:p w14:paraId="2BC525A3" w14:textId="77777777" w:rsidR="0037470B" w:rsidRDefault="0037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BF39" w14:textId="77777777" w:rsidR="0037470B" w:rsidRDefault="0037470B">
    <w:pPr>
      <w:pStyle w:val="Header"/>
      <w:rPr>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0B5"/>
    <w:multiLevelType w:val="singleLevel"/>
    <w:tmpl w:val="A7B2DADE"/>
    <w:lvl w:ilvl="0">
      <w:start w:val="1"/>
      <w:numFmt w:val="lowerLetter"/>
      <w:lvlText w:val="%1."/>
      <w:lvlJc w:val="left"/>
      <w:pPr>
        <w:tabs>
          <w:tab w:val="num" w:pos="360"/>
        </w:tabs>
        <w:ind w:left="360" w:hanging="360"/>
      </w:pPr>
      <w:rPr>
        <w:rFonts w:hint="default"/>
      </w:rPr>
    </w:lvl>
  </w:abstractNum>
  <w:abstractNum w:abstractNumId="1" w15:restartNumberingAfterBreak="0">
    <w:nsid w:val="07851B1F"/>
    <w:multiLevelType w:val="singleLevel"/>
    <w:tmpl w:val="FFFFFFFF"/>
    <w:lvl w:ilvl="0">
      <w:start w:val="1"/>
      <w:numFmt w:val="bullet"/>
      <w:lvlText w:val="-"/>
      <w:legacy w:legacy="1" w:legacySpace="0" w:legacyIndent="360"/>
      <w:lvlJc w:val="left"/>
      <w:pPr>
        <w:ind w:left="360" w:hanging="360"/>
      </w:pPr>
    </w:lvl>
  </w:abstractNum>
  <w:abstractNum w:abstractNumId="2" w15:restartNumberingAfterBreak="0">
    <w:nsid w:val="08AF5870"/>
    <w:multiLevelType w:val="hybridMultilevel"/>
    <w:tmpl w:val="1C44A6A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CCC1082"/>
    <w:multiLevelType w:val="singleLevel"/>
    <w:tmpl w:val="A7B2DADE"/>
    <w:lvl w:ilvl="0">
      <w:start w:val="1"/>
      <w:numFmt w:val="lowerLetter"/>
      <w:lvlText w:val="%1."/>
      <w:lvlJc w:val="left"/>
      <w:pPr>
        <w:tabs>
          <w:tab w:val="num" w:pos="360"/>
        </w:tabs>
        <w:ind w:left="360" w:hanging="360"/>
      </w:pPr>
      <w:rPr>
        <w:rFonts w:hint="default"/>
      </w:rPr>
    </w:lvl>
  </w:abstractNum>
  <w:abstractNum w:abstractNumId="4" w15:restartNumberingAfterBreak="0">
    <w:nsid w:val="0D0241F9"/>
    <w:multiLevelType w:val="singleLevel"/>
    <w:tmpl w:val="FFFFFFFF"/>
    <w:lvl w:ilvl="0">
      <w:start w:val="1"/>
      <w:numFmt w:val="bullet"/>
      <w:lvlText w:val="-"/>
      <w:legacy w:legacy="1" w:legacySpace="0" w:legacyIndent="360"/>
      <w:lvlJc w:val="left"/>
      <w:pPr>
        <w:ind w:left="360" w:hanging="360"/>
      </w:pPr>
    </w:lvl>
  </w:abstractNum>
  <w:abstractNum w:abstractNumId="5" w15:restartNumberingAfterBreak="0">
    <w:nsid w:val="107C0B21"/>
    <w:multiLevelType w:val="singleLevel"/>
    <w:tmpl w:val="FFFFFFFF"/>
    <w:lvl w:ilvl="0">
      <w:start w:val="1"/>
      <w:numFmt w:val="bullet"/>
      <w:lvlText w:val="-"/>
      <w:lvlJc w:val="left"/>
      <w:pPr>
        <w:ind w:left="1045" w:hanging="360"/>
      </w:pPr>
    </w:lvl>
  </w:abstractNum>
  <w:abstractNum w:abstractNumId="6" w15:restartNumberingAfterBreak="0">
    <w:nsid w:val="11801218"/>
    <w:multiLevelType w:val="singleLevel"/>
    <w:tmpl w:val="FFFFFFFF"/>
    <w:lvl w:ilvl="0">
      <w:start w:val="1"/>
      <w:numFmt w:val="bullet"/>
      <w:lvlText w:val="-"/>
      <w:legacy w:legacy="1" w:legacySpace="0" w:legacyIndent="360"/>
      <w:lvlJc w:val="left"/>
      <w:pPr>
        <w:ind w:left="360" w:hanging="360"/>
      </w:pPr>
    </w:lvl>
  </w:abstractNum>
  <w:abstractNum w:abstractNumId="7" w15:restartNumberingAfterBreak="0">
    <w:nsid w:val="14384A2B"/>
    <w:multiLevelType w:val="singleLevel"/>
    <w:tmpl w:val="FFFFFFFF"/>
    <w:lvl w:ilvl="0">
      <w:start w:val="1"/>
      <w:numFmt w:val="bullet"/>
      <w:lvlText w:val="-"/>
      <w:legacy w:legacy="1" w:legacySpace="0" w:legacyIndent="360"/>
      <w:lvlJc w:val="left"/>
      <w:pPr>
        <w:ind w:left="360" w:hanging="360"/>
      </w:pPr>
    </w:lvl>
  </w:abstractNum>
  <w:abstractNum w:abstractNumId="8" w15:restartNumberingAfterBreak="0">
    <w:nsid w:val="1AC237B8"/>
    <w:multiLevelType w:val="hybridMultilevel"/>
    <w:tmpl w:val="9780AF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C5E7879"/>
    <w:multiLevelType w:val="singleLevel"/>
    <w:tmpl w:val="FFFFFFFF"/>
    <w:lvl w:ilvl="0">
      <w:start w:val="1"/>
      <w:numFmt w:val="bullet"/>
      <w:lvlText w:val="-"/>
      <w:legacy w:legacy="1" w:legacySpace="0" w:legacyIndent="360"/>
      <w:lvlJc w:val="left"/>
      <w:pPr>
        <w:ind w:left="360" w:hanging="360"/>
      </w:pPr>
    </w:lvl>
  </w:abstractNum>
  <w:abstractNum w:abstractNumId="10" w15:restartNumberingAfterBreak="0">
    <w:nsid w:val="23970576"/>
    <w:multiLevelType w:val="singleLevel"/>
    <w:tmpl w:val="FFFFFFFF"/>
    <w:lvl w:ilvl="0">
      <w:start w:val="1"/>
      <w:numFmt w:val="bullet"/>
      <w:lvlText w:val="-"/>
      <w:legacy w:legacy="1" w:legacySpace="0" w:legacyIndent="360"/>
      <w:lvlJc w:val="left"/>
      <w:pPr>
        <w:ind w:left="360" w:hanging="360"/>
      </w:pPr>
    </w:lvl>
  </w:abstractNum>
  <w:abstractNum w:abstractNumId="11" w15:restartNumberingAfterBreak="0">
    <w:nsid w:val="24F91113"/>
    <w:multiLevelType w:val="singleLevel"/>
    <w:tmpl w:val="FFFFFFFF"/>
    <w:lvl w:ilvl="0">
      <w:start w:val="1"/>
      <w:numFmt w:val="bullet"/>
      <w:lvlText w:val="-"/>
      <w:legacy w:legacy="1" w:legacySpace="0" w:legacyIndent="360"/>
      <w:lvlJc w:val="left"/>
      <w:pPr>
        <w:ind w:left="360" w:hanging="360"/>
      </w:pPr>
    </w:lvl>
  </w:abstractNum>
  <w:abstractNum w:abstractNumId="12" w15:restartNumberingAfterBreak="0">
    <w:nsid w:val="25F56FE5"/>
    <w:multiLevelType w:val="singleLevel"/>
    <w:tmpl w:val="FFFFFFFF"/>
    <w:lvl w:ilvl="0">
      <w:start w:val="1"/>
      <w:numFmt w:val="bullet"/>
      <w:lvlText w:val="-"/>
      <w:legacy w:legacy="1" w:legacySpace="0" w:legacyIndent="360"/>
      <w:lvlJc w:val="left"/>
      <w:pPr>
        <w:ind w:left="360" w:hanging="360"/>
      </w:pPr>
    </w:lvl>
  </w:abstractNum>
  <w:abstractNum w:abstractNumId="13" w15:restartNumberingAfterBreak="0">
    <w:nsid w:val="29C40D07"/>
    <w:multiLevelType w:val="hybridMultilevel"/>
    <w:tmpl w:val="DA8A632E"/>
    <w:lvl w:ilvl="0" w:tplc="FFFFFFFF">
      <w:start w:val="1"/>
      <w:numFmt w:val="bullet"/>
      <w:lvlText w:val="-"/>
      <w:lvlJc w:val="left"/>
      <w:pPr>
        <w:ind w:left="1045" w:hanging="360"/>
      </w:pPr>
      <w:rPr>
        <w:rFont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4" w15:restartNumberingAfterBreak="0">
    <w:nsid w:val="31E42DB1"/>
    <w:multiLevelType w:val="singleLevel"/>
    <w:tmpl w:val="FFFFFFFF"/>
    <w:lvl w:ilvl="0">
      <w:start w:val="1"/>
      <w:numFmt w:val="bullet"/>
      <w:lvlText w:val="-"/>
      <w:legacy w:legacy="1" w:legacySpace="0" w:legacyIndent="360"/>
      <w:lvlJc w:val="left"/>
      <w:pPr>
        <w:ind w:left="360" w:hanging="360"/>
      </w:pPr>
    </w:lvl>
  </w:abstractNum>
  <w:abstractNum w:abstractNumId="15" w15:restartNumberingAfterBreak="0">
    <w:nsid w:val="362318B5"/>
    <w:multiLevelType w:val="singleLevel"/>
    <w:tmpl w:val="FFFFFFFF"/>
    <w:lvl w:ilvl="0">
      <w:start w:val="1"/>
      <w:numFmt w:val="bullet"/>
      <w:lvlText w:val="-"/>
      <w:lvlJc w:val="left"/>
      <w:pPr>
        <w:ind w:left="720" w:hanging="360"/>
      </w:pPr>
    </w:lvl>
  </w:abstractNum>
  <w:abstractNum w:abstractNumId="16" w15:restartNumberingAfterBreak="0">
    <w:nsid w:val="3A534B7B"/>
    <w:multiLevelType w:val="singleLevel"/>
    <w:tmpl w:val="FFFFFFFF"/>
    <w:lvl w:ilvl="0">
      <w:start w:val="1"/>
      <w:numFmt w:val="bullet"/>
      <w:lvlText w:val="-"/>
      <w:legacy w:legacy="1" w:legacySpace="0" w:legacyIndent="360"/>
      <w:lvlJc w:val="left"/>
      <w:pPr>
        <w:ind w:left="360" w:hanging="360"/>
      </w:pPr>
    </w:lvl>
  </w:abstractNum>
  <w:abstractNum w:abstractNumId="17" w15:restartNumberingAfterBreak="0">
    <w:nsid w:val="3B741DEA"/>
    <w:multiLevelType w:val="singleLevel"/>
    <w:tmpl w:val="FFFFFFFF"/>
    <w:lvl w:ilvl="0">
      <w:start w:val="1"/>
      <w:numFmt w:val="bullet"/>
      <w:lvlText w:val="-"/>
      <w:legacy w:legacy="1" w:legacySpace="0" w:legacyIndent="360"/>
      <w:lvlJc w:val="left"/>
      <w:pPr>
        <w:ind w:left="360" w:hanging="360"/>
      </w:pPr>
    </w:lvl>
  </w:abstractNum>
  <w:abstractNum w:abstractNumId="18" w15:restartNumberingAfterBreak="0">
    <w:nsid w:val="3C053CD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0FA0218"/>
    <w:multiLevelType w:val="singleLevel"/>
    <w:tmpl w:val="FFFFFFFF"/>
    <w:lvl w:ilvl="0">
      <w:start w:val="1"/>
      <w:numFmt w:val="bullet"/>
      <w:lvlText w:val="-"/>
      <w:legacy w:legacy="1" w:legacySpace="0" w:legacyIndent="360"/>
      <w:lvlJc w:val="left"/>
      <w:pPr>
        <w:ind w:left="360" w:hanging="360"/>
      </w:pPr>
    </w:lvl>
  </w:abstractNum>
  <w:abstractNum w:abstractNumId="20" w15:restartNumberingAfterBreak="0">
    <w:nsid w:val="5199196F"/>
    <w:multiLevelType w:val="singleLevel"/>
    <w:tmpl w:val="FFFFFFFF"/>
    <w:lvl w:ilvl="0">
      <w:start w:val="1"/>
      <w:numFmt w:val="bullet"/>
      <w:lvlText w:val="-"/>
      <w:legacy w:legacy="1" w:legacySpace="0" w:legacyIndent="360"/>
      <w:lvlJc w:val="left"/>
      <w:pPr>
        <w:ind w:left="360" w:hanging="360"/>
      </w:pPr>
    </w:lvl>
  </w:abstractNum>
  <w:abstractNum w:abstractNumId="21" w15:restartNumberingAfterBreak="0">
    <w:nsid w:val="55206551"/>
    <w:multiLevelType w:val="singleLevel"/>
    <w:tmpl w:val="FFFFFFFF"/>
    <w:lvl w:ilvl="0">
      <w:start w:val="1"/>
      <w:numFmt w:val="bullet"/>
      <w:lvlText w:val="-"/>
      <w:legacy w:legacy="1" w:legacySpace="0" w:legacyIndent="360"/>
      <w:lvlJc w:val="left"/>
      <w:pPr>
        <w:ind w:left="360" w:hanging="360"/>
      </w:pPr>
    </w:lvl>
  </w:abstractNum>
  <w:abstractNum w:abstractNumId="22" w15:restartNumberingAfterBreak="0">
    <w:nsid w:val="609B6253"/>
    <w:multiLevelType w:val="singleLevel"/>
    <w:tmpl w:val="FFFFFFFF"/>
    <w:lvl w:ilvl="0">
      <w:start w:val="1"/>
      <w:numFmt w:val="bullet"/>
      <w:lvlText w:val="-"/>
      <w:legacy w:legacy="1" w:legacySpace="0" w:legacyIndent="360"/>
      <w:lvlJc w:val="left"/>
      <w:pPr>
        <w:ind w:left="360" w:hanging="360"/>
      </w:pPr>
    </w:lvl>
  </w:abstractNum>
  <w:abstractNum w:abstractNumId="23" w15:restartNumberingAfterBreak="0">
    <w:nsid w:val="61FF3350"/>
    <w:multiLevelType w:val="singleLevel"/>
    <w:tmpl w:val="FFFFFFFF"/>
    <w:lvl w:ilvl="0">
      <w:start w:val="1"/>
      <w:numFmt w:val="bullet"/>
      <w:lvlText w:val="-"/>
      <w:legacy w:legacy="1" w:legacySpace="0" w:legacyIndent="360"/>
      <w:lvlJc w:val="left"/>
      <w:pPr>
        <w:ind w:left="360" w:hanging="360"/>
      </w:pPr>
    </w:lvl>
  </w:abstractNum>
  <w:abstractNum w:abstractNumId="24" w15:restartNumberingAfterBreak="0">
    <w:nsid w:val="68B06B27"/>
    <w:multiLevelType w:val="hybridMultilevel"/>
    <w:tmpl w:val="01E623B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6601D0B"/>
    <w:multiLevelType w:val="singleLevel"/>
    <w:tmpl w:val="FFFFFFFF"/>
    <w:lvl w:ilvl="0">
      <w:start w:val="1"/>
      <w:numFmt w:val="bullet"/>
      <w:lvlText w:val="-"/>
      <w:legacy w:legacy="1" w:legacySpace="0" w:legacyIndent="360"/>
      <w:lvlJc w:val="left"/>
      <w:pPr>
        <w:ind w:left="360" w:hanging="360"/>
      </w:pPr>
    </w:lvl>
  </w:abstractNum>
  <w:abstractNum w:abstractNumId="26" w15:restartNumberingAfterBreak="0">
    <w:nsid w:val="767117C8"/>
    <w:multiLevelType w:val="singleLevel"/>
    <w:tmpl w:val="FFFFFFFF"/>
    <w:lvl w:ilvl="0">
      <w:start w:val="1"/>
      <w:numFmt w:val="bullet"/>
      <w:lvlText w:val="-"/>
      <w:legacy w:legacy="1" w:legacySpace="0" w:legacyIndent="360"/>
      <w:lvlJc w:val="left"/>
      <w:pPr>
        <w:ind w:left="360" w:hanging="360"/>
      </w:pPr>
    </w:lvl>
  </w:abstractNum>
  <w:abstractNum w:abstractNumId="27" w15:restartNumberingAfterBreak="0">
    <w:nsid w:val="7A653AC5"/>
    <w:multiLevelType w:val="singleLevel"/>
    <w:tmpl w:val="FFFFFFFF"/>
    <w:lvl w:ilvl="0">
      <w:start w:val="1"/>
      <w:numFmt w:val="bullet"/>
      <w:lvlText w:val="-"/>
      <w:legacy w:legacy="1" w:legacySpace="0" w:legacyIndent="360"/>
      <w:lvlJc w:val="left"/>
      <w:pPr>
        <w:ind w:left="360" w:hanging="360"/>
      </w:pPr>
    </w:lvl>
  </w:abstractNum>
  <w:abstractNum w:abstractNumId="28" w15:restartNumberingAfterBreak="0">
    <w:nsid w:val="7F11134D"/>
    <w:multiLevelType w:val="singleLevel"/>
    <w:tmpl w:val="FFFFFFFF"/>
    <w:lvl w:ilvl="0">
      <w:start w:val="1"/>
      <w:numFmt w:val="bullet"/>
      <w:lvlText w:val="-"/>
      <w:legacy w:legacy="1" w:legacySpace="0" w:legacyIndent="360"/>
      <w:lvlJc w:val="left"/>
      <w:pPr>
        <w:ind w:left="360" w:hanging="360"/>
      </w:pPr>
    </w:lvl>
  </w:abstractNum>
  <w:abstractNum w:abstractNumId="29" w15:restartNumberingAfterBreak="0">
    <w:nsid w:val="7FDC6FB6"/>
    <w:multiLevelType w:val="singleLevel"/>
    <w:tmpl w:val="FFFFFFFF"/>
    <w:lvl w:ilvl="0">
      <w:start w:val="1"/>
      <w:numFmt w:val="bullet"/>
      <w:lvlText w:val="-"/>
      <w:legacy w:legacy="1" w:legacySpace="0" w:legacyIndent="360"/>
      <w:lvlJc w:val="left"/>
      <w:pPr>
        <w:ind w:left="360" w:hanging="360"/>
      </w:pPr>
    </w:lvl>
  </w:abstractNum>
  <w:num w:numId="1">
    <w:abstractNumId w:val="0"/>
  </w:num>
  <w:num w:numId="2">
    <w:abstractNumId w:val="3"/>
  </w:num>
  <w:num w:numId="3">
    <w:abstractNumId w:val="27"/>
  </w:num>
  <w:num w:numId="4">
    <w:abstractNumId w:val="11"/>
  </w:num>
  <w:num w:numId="5">
    <w:abstractNumId w:val="15"/>
  </w:num>
  <w:num w:numId="6">
    <w:abstractNumId w:val="4"/>
  </w:num>
  <w:num w:numId="7">
    <w:abstractNumId w:val="9"/>
  </w:num>
  <w:num w:numId="8">
    <w:abstractNumId w:val="5"/>
  </w:num>
  <w:num w:numId="9">
    <w:abstractNumId w:val="14"/>
  </w:num>
  <w:num w:numId="10">
    <w:abstractNumId w:val="12"/>
  </w:num>
  <w:num w:numId="11">
    <w:abstractNumId w:val="29"/>
  </w:num>
  <w:num w:numId="12">
    <w:abstractNumId w:val="25"/>
  </w:num>
  <w:num w:numId="13">
    <w:abstractNumId w:val="21"/>
  </w:num>
  <w:num w:numId="14">
    <w:abstractNumId w:val="28"/>
  </w:num>
  <w:num w:numId="15">
    <w:abstractNumId w:val="10"/>
  </w:num>
  <w:num w:numId="16">
    <w:abstractNumId w:val="17"/>
  </w:num>
  <w:num w:numId="17">
    <w:abstractNumId w:val="19"/>
  </w:num>
  <w:num w:numId="18">
    <w:abstractNumId w:val="6"/>
  </w:num>
  <w:num w:numId="19">
    <w:abstractNumId w:val="23"/>
  </w:num>
  <w:num w:numId="20">
    <w:abstractNumId w:val="16"/>
  </w:num>
  <w:num w:numId="21">
    <w:abstractNumId w:val="22"/>
  </w:num>
  <w:num w:numId="22">
    <w:abstractNumId w:val="20"/>
  </w:num>
  <w:num w:numId="23">
    <w:abstractNumId w:val="26"/>
  </w:num>
  <w:num w:numId="24">
    <w:abstractNumId w:val="7"/>
  </w:num>
  <w:num w:numId="25">
    <w:abstractNumId w:val="18"/>
  </w:num>
  <w:num w:numId="26">
    <w:abstractNumId w:val="1"/>
  </w:num>
  <w:num w:numId="27">
    <w:abstractNumId w:val="24"/>
  </w:num>
  <w:num w:numId="28">
    <w:abstractNumId w:val="2"/>
  </w:num>
  <w:num w:numId="29">
    <w:abstractNumId w:val="8"/>
  </w:num>
  <w:num w:numId="30">
    <w:abstractNumId w:val="13"/>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2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25"/>
    <w:rsid w:val="00005EB7"/>
    <w:rsid w:val="000135E2"/>
    <w:rsid w:val="000136B1"/>
    <w:rsid w:val="00014DB5"/>
    <w:rsid w:val="00014F82"/>
    <w:rsid w:val="00020700"/>
    <w:rsid w:val="00026691"/>
    <w:rsid w:val="00026D6A"/>
    <w:rsid w:val="00027A54"/>
    <w:rsid w:val="00030D8F"/>
    <w:rsid w:val="000437F0"/>
    <w:rsid w:val="00056D31"/>
    <w:rsid w:val="00060594"/>
    <w:rsid w:val="0006090B"/>
    <w:rsid w:val="00064DE6"/>
    <w:rsid w:val="00066702"/>
    <w:rsid w:val="00076898"/>
    <w:rsid w:val="00081C2E"/>
    <w:rsid w:val="0009075B"/>
    <w:rsid w:val="00091C28"/>
    <w:rsid w:val="000B2C48"/>
    <w:rsid w:val="000C288A"/>
    <w:rsid w:val="000C68EE"/>
    <w:rsid w:val="000D16CD"/>
    <w:rsid w:val="000D35C4"/>
    <w:rsid w:val="000F70A6"/>
    <w:rsid w:val="0011138E"/>
    <w:rsid w:val="00117221"/>
    <w:rsid w:val="00120EEB"/>
    <w:rsid w:val="001323DE"/>
    <w:rsid w:val="00136FB9"/>
    <w:rsid w:val="00141419"/>
    <w:rsid w:val="0014295B"/>
    <w:rsid w:val="00154437"/>
    <w:rsid w:val="00160F5E"/>
    <w:rsid w:val="00163C4C"/>
    <w:rsid w:val="0016554E"/>
    <w:rsid w:val="00175C90"/>
    <w:rsid w:val="00181C94"/>
    <w:rsid w:val="001A321F"/>
    <w:rsid w:val="001A54AD"/>
    <w:rsid w:val="001A65FC"/>
    <w:rsid w:val="001B5620"/>
    <w:rsid w:val="001C15F6"/>
    <w:rsid w:val="001C21A6"/>
    <w:rsid w:val="001C5428"/>
    <w:rsid w:val="001C6628"/>
    <w:rsid w:val="001D3E6F"/>
    <w:rsid w:val="001E0D6D"/>
    <w:rsid w:val="001E6CAE"/>
    <w:rsid w:val="002006E8"/>
    <w:rsid w:val="00205B0C"/>
    <w:rsid w:val="00221DC8"/>
    <w:rsid w:val="0022548B"/>
    <w:rsid w:val="00245FC0"/>
    <w:rsid w:val="00254BCD"/>
    <w:rsid w:val="0026477B"/>
    <w:rsid w:val="00276716"/>
    <w:rsid w:val="0028183F"/>
    <w:rsid w:val="00292141"/>
    <w:rsid w:val="002A053C"/>
    <w:rsid w:val="002A768D"/>
    <w:rsid w:val="002D3EDE"/>
    <w:rsid w:val="002E11C0"/>
    <w:rsid w:val="002F6BD6"/>
    <w:rsid w:val="003155F3"/>
    <w:rsid w:val="00321367"/>
    <w:rsid w:val="00321A52"/>
    <w:rsid w:val="00333876"/>
    <w:rsid w:val="003448E2"/>
    <w:rsid w:val="00366F31"/>
    <w:rsid w:val="0037470B"/>
    <w:rsid w:val="003767FF"/>
    <w:rsid w:val="00380D9D"/>
    <w:rsid w:val="003912FC"/>
    <w:rsid w:val="003A58EA"/>
    <w:rsid w:val="003A792C"/>
    <w:rsid w:val="003B762C"/>
    <w:rsid w:val="003C53A6"/>
    <w:rsid w:val="003E5916"/>
    <w:rsid w:val="003F4FEF"/>
    <w:rsid w:val="004074D9"/>
    <w:rsid w:val="004153E1"/>
    <w:rsid w:val="00424762"/>
    <w:rsid w:val="00431949"/>
    <w:rsid w:val="004540AE"/>
    <w:rsid w:val="00463BD2"/>
    <w:rsid w:val="00464B40"/>
    <w:rsid w:val="00472FFD"/>
    <w:rsid w:val="00485493"/>
    <w:rsid w:val="00485CD0"/>
    <w:rsid w:val="00492FB2"/>
    <w:rsid w:val="00495840"/>
    <w:rsid w:val="004A5102"/>
    <w:rsid w:val="004D3AF3"/>
    <w:rsid w:val="004D6679"/>
    <w:rsid w:val="004D7DBF"/>
    <w:rsid w:val="004E340D"/>
    <w:rsid w:val="00521FD9"/>
    <w:rsid w:val="00522076"/>
    <w:rsid w:val="005318EA"/>
    <w:rsid w:val="005367AB"/>
    <w:rsid w:val="00544BBF"/>
    <w:rsid w:val="00552620"/>
    <w:rsid w:val="005728C1"/>
    <w:rsid w:val="00574582"/>
    <w:rsid w:val="005800D6"/>
    <w:rsid w:val="005827B7"/>
    <w:rsid w:val="005856E7"/>
    <w:rsid w:val="00592A52"/>
    <w:rsid w:val="005936F1"/>
    <w:rsid w:val="00593CCF"/>
    <w:rsid w:val="005A6276"/>
    <w:rsid w:val="005B5074"/>
    <w:rsid w:val="005D22AC"/>
    <w:rsid w:val="005D4362"/>
    <w:rsid w:val="005E0F3E"/>
    <w:rsid w:val="00607A91"/>
    <w:rsid w:val="00615ED2"/>
    <w:rsid w:val="0062222D"/>
    <w:rsid w:val="006228E8"/>
    <w:rsid w:val="00625592"/>
    <w:rsid w:val="0062637F"/>
    <w:rsid w:val="0063696D"/>
    <w:rsid w:val="0064289E"/>
    <w:rsid w:val="006578EB"/>
    <w:rsid w:val="00665564"/>
    <w:rsid w:val="00674FDB"/>
    <w:rsid w:val="00681486"/>
    <w:rsid w:val="00682129"/>
    <w:rsid w:val="0069367C"/>
    <w:rsid w:val="0069597D"/>
    <w:rsid w:val="006A2F8E"/>
    <w:rsid w:val="006B1FB5"/>
    <w:rsid w:val="006B410B"/>
    <w:rsid w:val="006C2BD3"/>
    <w:rsid w:val="006C7B6E"/>
    <w:rsid w:val="006D46D7"/>
    <w:rsid w:val="006F41A2"/>
    <w:rsid w:val="00724ED6"/>
    <w:rsid w:val="00727CF5"/>
    <w:rsid w:val="00737C2A"/>
    <w:rsid w:val="00742866"/>
    <w:rsid w:val="007627DC"/>
    <w:rsid w:val="00777F0C"/>
    <w:rsid w:val="00780A4A"/>
    <w:rsid w:val="0078283C"/>
    <w:rsid w:val="00791D15"/>
    <w:rsid w:val="007A4204"/>
    <w:rsid w:val="007C7B13"/>
    <w:rsid w:val="007F495C"/>
    <w:rsid w:val="00831DD9"/>
    <w:rsid w:val="00840865"/>
    <w:rsid w:val="00840BC2"/>
    <w:rsid w:val="00841D61"/>
    <w:rsid w:val="0084537C"/>
    <w:rsid w:val="00850A47"/>
    <w:rsid w:val="00852D88"/>
    <w:rsid w:val="00854C3D"/>
    <w:rsid w:val="008650A9"/>
    <w:rsid w:val="00875225"/>
    <w:rsid w:val="00881315"/>
    <w:rsid w:val="008832C1"/>
    <w:rsid w:val="008861EC"/>
    <w:rsid w:val="0089477C"/>
    <w:rsid w:val="008A452A"/>
    <w:rsid w:val="008B16AE"/>
    <w:rsid w:val="008B3FB5"/>
    <w:rsid w:val="008D62F5"/>
    <w:rsid w:val="008E518B"/>
    <w:rsid w:val="008F0D76"/>
    <w:rsid w:val="008F42D6"/>
    <w:rsid w:val="009019A8"/>
    <w:rsid w:val="00907985"/>
    <w:rsid w:val="009128F4"/>
    <w:rsid w:val="009159EB"/>
    <w:rsid w:val="00915BC2"/>
    <w:rsid w:val="00915D33"/>
    <w:rsid w:val="00920638"/>
    <w:rsid w:val="00925D6B"/>
    <w:rsid w:val="009330E6"/>
    <w:rsid w:val="0093529C"/>
    <w:rsid w:val="00937787"/>
    <w:rsid w:val="009407A5"/>
    <w:rsid w:val="009420A6"/>
    <w:rsid w:val="009428C0"/>
    <w:rsid w:val="00942AAB"/>
    <w:rsid w:val="00945DF1"/>
    <w:rsid w:val="00955373"/>
    <w:rsid w:val="00957CA7"/>
    <w:rsid w:val="009647BA"/>
    <w:rsid w:val="00974B44"/>
    <w:rsid w:val="00977C12"/>
    <w:rsid w:val="00981CF2"/>
    <w:rsid w:val="00992412"/>
    <w:rsid w:val="009A1F82"/>
    <w:rsid w:val="009B0B97"/>
    <w:rsid w:val="009D7F56"/>
    <w:rsid w:val="009E0639"/>
    <w:rsid w:val="009F6ABB"/>
    <w:rsid w:val="00A27FCA"/>
    <w:rsid w:val="00A429E5"/>
    <w:rsid w:val="00A47BFF"/>
    <w:rsid w:val="00A55F08"/>
    <w:rsid w:val="00A604E9"/>
    <w:rsid w:val="00A67CF4"/>
    <w:rsid w:val="00A844CE"/>
    <w:rsid w:val="00A900CC"/>
    <w:rsid w:val="00A96933"/>
    <w:rsid w:val="00AB603F"/>
    <w:rsid w:val="00AC3E76"/>
    <w:rsid w:val="00AD08FE"/>
    <w:rsid w:val="00AE41A4"/>
    <w:rsid w:val="00B202B6"/>
    <w:rsid w:val="00B303A0"/>
    <w:rsid w:val="00B308D6"/>
    <w:rsid w:val="00B33CF1"/>
    <w:rsid w:val="00B41CA6"/>
    <w:rsid w:val="00B522DE"/>
    <w:rsid w:val="00B55957"/>
    <w:rsid w:val="00B5621C"/>
    <w:rsid w:val="00B7162A"/>
    <w:rsid w:val="00B7293A"/>
    <w:rsid w:val="00B72D8C"/>
    <w:rsid w:val="00B926FD"/>
    <w:rsid w:val="00BD1DB3"/>
    <w:rsid w:val="00BD3CB3"/>
    <w:rsid w:val="00BE149F"/>
    <w:rsid w:val="00BE2ABA"/>
    <w:rsid w:val="00BE5F60"/>
    <w:rsid w:val="00BE753D"/>
    <w:rsid w:val="00BF63CD"/>
    <w:rsid w:val="00C1135C"/>
    <w:rsid w:val="00C2550B"/>
    <w:rsid w:val="00C274E8"/>
    <w:rsid w:val="00C32331"/>
    <w:rsid w:val="00C57AD4"/>
    <w:rsid w:val="00C7494A"/>
    <w:rsid w:val="00C755CA"/>
    <w:rsid w:val="00C81311"/>
    <w:rsid w:val="00C842F5"/>
    <w:rsid w:val="00C92444"/>
    <w:rsid w:val="00C94E1E"/>
    <w:rsid w:val="00CB2870"/>
    <w:rsid w:val="00CB3D50"/>
    <w:rsid w:val="00CB58E6"/>
    <w:rsid w:val="00CD04AE"/>
    <w:rsid w:val="00CD3C2D"/>
    <w:rsid w:val="00CD68D5"/>
    <w:rsid w:val="00CE6FCE"/>
    <w:rsid w:val="00CF3768"/>
    <w:rsid w:val="00D05913"/>
    <w:rsid w:val="00D15A90"/>
    <w:rsid w:val="00D213DE"/>
    <w:rsid w:val="00D51633"/>
    <w:rsid w:val="00D5165F"/>
    <w:rsid w:val="00D62973"/>
    <w:rsid w:val="00D70F78"/>
    <w:rsid w:val="00D735AA"/>
    <w:rsid w:val="00D83B70"/>
    <w:rsid w:val="00D91A88"/>
    <w:rsid w:val="00D94C72"/>
    <w:rsid w:val="00D95678"/>
    <w:rsid w:val="00DC1868"/>
    <w:rsid w:val="00DE0225"/>
    <w:rsid w:val="00DE31D8"/>
    <w:rsid w:val="00DF41F1"/>
    <w:rsid w:val="00DF5FDB"/>
    <w:rsid w:val="00DF7239"/>
    <w:rsid w:val="00E01B85"/>
    <w:rsid w:val="00E169F0"/>
    <w:rsid w:val="00E17DD5"/>
    <w:rsid w:val="00E248B5"/>
    <w:rsid w:val="00E33F3C"/>
    <w:rsid w:val="00E36A30"/>
    <w:rsid w:val="00E379BB"/>
    <w:rsid w:val="00E546D5"/>
    <w:rsid w:val="00E8698C"/>
    <w:rsid w:val="00E921E2"/>
    <w:rsid w:val="00E96110"/>
    <w:rsid w:val="00EA0EB6"/>
    <w:rsid w:val="00EC067E"/>
    <w:rsid w:val="00EE134B"/>
    <w:rsid w:val="00F03137"/>
    <w:rsid w:val="00F155D2"/>
    <w:rsid w:val="00F16DD9"/>
    <w:rsid w:val="00F24A0B"/>
    <w:rsid w:val="00F26977"/>
    <w:rsid w:val="00F51A33"/>
    <w:rsid w:val="00F54C07"/>
    <w:rsid w:val="00F60A32"/>
    <w:rsid w:val="00F908E0"/>
    <w:rsid w:val="00F93F3C"/>
    <w:rsid w:val="00F96983"/>
    <w:rsid w:val="00FA34E3"/>
    <w:rsid w:val="00FB3942"/>
    <w:rsid w:val="00FC1BFE"/>
    <w:rsid w:val="00FC6247"/>
    <w:rsid w:val="00FF0F1D"/>
    <w:rsid w:val="00FF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6ED99"/>
  <w15:docId w15:val="{6BC2EF81-D550-4D91-96AE-E6D32A23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C2D"/>
    <w:rPr>
      <w:sz w:val="24"/>
      <w:lang w:val="fr-FR" w:eastAsia="en-US"/>
    </w:rPr>
  </w:style>
  <w:style w:type="paragraph" w:styleId="Heading1">
    <w:name w:val="heading 1"/>
    <w:basedOn w:val="Normal"/>
    <w:next w:val="Normal"/>
    <w:qFormat/>
    <w:rsid w:val="00CD3C2D"/>
    <w:pPr>
      <w:jc w:val="center"/>
      <w:outlineLvl w:val="0"/>
    </w:pPr>
    <w:rPr>
      <w:b/>
      <w:sz w:val="28"/>
    </w:rPr>
  </w:style>
  <w:style w:type="paragraph" w:styleId="Heading2">
    <w:name w:val="heading 2"/>
    <w:basedOn w:val="Normal"/>
    <w:next w:val="Normal"/>
    <w:qFormat/>
    <w:rsid w:val="00CD3C2D"/>
    <w:pPr>
      <w:ind w:left="227" w:hanging="227"/>
      <w:outlineLvl w:val="1"/>
    </w:pPr>
    <w:rPr>
      <w:b/>
    </w:rPr>
  </w:style>
  <w:style w:type="paragraph" w:styleId="Heading3">
    <w:name w:val="heading 3"/>
    <w:basedOn w:val="Normal"/>
    <w:next w:val="Normal"/>
    <w:qFormat/>
    <w:rsid w:val="00CD3C2D"/>
    <w:pPr>
      <w:ind w:left="681" w:hanging="454"/>
      <w:outlineLvl w:val="2"/>
    </w:pPr>
    <w:rPr>
      <w:u w:val="single"/>
    </w:rPr>
  </w:style>
  <w:style w:type="paragraph" w:styleId="Heading4">
    <w:name w:val="heading 4"/>
    <w:basedOn w:val="Normal"/>
    <w:next w:val="Normal"/>
    <w:qFormat/>
    <w:rsid w:val="00CD3C2D"/>
    <w:pPr>
      <w:ind w:left="680"/>
      <w:jc w:val="both"/>
      <w:outlineLvl w:val="3"/>
    </w:pPr>
    <w:rPr>
      <w:spacing w:val="-4"/>
      <w:u w:val="single"/>
    </w:rPr>
  </w:style>
  <w:style w:type="paragraph" w:styleId="Heading5">
    <w:name w:val="heading 5"/>
    <w:basedOn w:val="Normal"/>
    <w:next w:val="Normal"/>
    <w:qFormat/>
    <w:rsid w:val="00CD3C2D"/>
    <w:pPr>
      <w:ind w:left="681"/>
      <w:outlineLvl w:val="4"/>
    </w:pPr>
    <w:rPr>
      <w:b/>
      <w:i/>
      <w:sz w:val="22"/>
    </w:rPr>
  </w:style>
  <w:style w:type="paragraph" w:styleId="Heading6">
    <w:name w:val="heading 6"/>
    <w:basedOn w:val="Normal"/>
    <w:next w:val="Normal"/>
    <w:qFormat/>
    <w:rsid w:val="00CD3C2D"/>
    <w:pPr>
      <w:keepNext/>
      <w:tabs>
        <w:tab w:val="num" w:pos="426"/>
      </w:tabs>
      <w:ind w:left="426" w:hanging="426"/>
      <w:outlineLvl w:val="5"/>
    </w:pPr>
    <w:rPr>
      <w:b/>
      <w:caps/>
    </w:rPr>
  </w:style>
  <w:style w:type="paragraph" w:styleId="Heading7">
    <w:name w:val="heading 7"/>
    <w:basedOn w:val="Normal"/>
    <w:next w:val="Normal"/>
    <w:qFormat/>
    <w:rsid w:val="00CD3C2D"/>
    <w:pPr>
      <w:keepNext/>
      <w:ind w:left="681"/>
      <w:jc w:val="both"/>
      <w:outlineLvl w:val="6"/>
    </w:pPr>
    <w:rPr>
      <w:u w:val="single"/>
    </w:rPr>
  </w:style>
  <w:style w:type="paragraph" w:styleId="Heading8">
    <w:name w:val="heading 8"/>
    <w:basedOn w:val="Normal"/>
    <w:next w:val="Normal"/>
    <w:qFormat/>
    <w:rsid w:val="00CD3C2D"/>
    <w:pPr>
      <w:keepNext/>
      <w:ind w:left="681"/>
      <w:jc w:val="both"/>
      <w:outlineLvl w:val="7"/>
    </w:pPr>
    <w:rPr>
      <w:i/>
      <w:u w:val="single"/>
    </w:rPr>
  </w:style>
  <w:style w:type="paragraph" w:styleId="Heading9">
    <w:name w:val="heading 9"/>
    <w:basedOn w:val="Normal"/>
    <w:next w:val="Normal"/>
    <w:qFormat/>
    <w:rsid w:val="00CD3C2D"/>
    <w:pPr>
      <w:keepNext/>
      <w:ind w:left="681"/>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C2D"/>
    <w:pPr>
      <w:spacing w:after="120"/>
    </w:pPr>
    <w:rPr>
      <w:rFonts w:ascii="Arial" w:hAnsi="Arial"/>
    </w:rPr>
  </w:style>
  <w:style w:type="paragraph" w:styleId="Header">
    <w:name w:val="header"/>
    <w:basedOn w:val="Normal"/>
    <w:rsid w:val="00CD3C2D"/>
    <w:pPr>
      <w:tabs>
        <w:tab w:val="right" w:pos="9072"/>
      </w:tabs>
    </w:pPr>
  </w:style>
  <w:style w:type="paragraph" w:styleId="Footer">
    <w:name w:val="footer"/>
    <w:basedOn w:val="Normal"/>
    <w:rsid w:val="00CD3C2D"/>
    <w:pPr>
      <w:tabs>
        <w:tab w:val="right" w:pos="9072"/>
      </w:tabs>
    </w:pPr>
    <w:rPr>
      <w:i/>
      <w:sz w:val="18"/>
    </w:rPr>
  </w:style>
  <w:style w:type="character" w:styleId="PageNumber">
    <w:name w:val="page number"/>
    <w:basedOn w:val="DefaultParagraphFont"/>
    <w:rsid w:val="00CD3C2D"/>
  </w:style>
  <w:style w:type="paragraph" w:styleId="BodyTextIndent">
    <w:name w:val="Body Text Indent"/>
    <w:basedOn w:val="Normal"/>
    <w:rsid w:val="00CD3C2D"/>
    <w:pPr>
      <w:ind w:left="340"/>
      <w:jc w:val="both"/>
    </w:pPr>
  </w:style>
  <w:style w:type="paragraph" w:styleId="BodyTextIndent2">
    <w:name w:val="Body Text Indent 2"/>
    <w:basedOn w:val="Normal"/>
    <w:rsid w:val="00CD3C2D"/>
    <w:pPr>
      <w:ind w:left="1020" w:hanging="170"/>
      <w:jc w:val="both"/>
    </w:pPr>
  </w:style>
  <w:style w:type="paragraph" w:styleId="BodyTextIndent3">
    <w:name w:val="Body Text Indent 3"/>
    <w:basedOn w:val="Normal"/>
    <w:rsid w:val="00CD3C2D"/>
    <w:pPr>
      <w:ind w:left="681" w:firstLine="1"/>
      <w:jc w:val="both"/>
    </w:pPr>
  </w:style>
  <w:style w:type="paragraph" w:styleId="BodyText3">
    <w:name w:val="Body Text 3"/>
    <w:basedOn w:val="Normal"/>
    <w:rsid w:val="00CD3C2D"/>
    <w:pPr>
      <w:jc w:val="both"/>
    </w:pPr>
    <w:rPr>
      <w:noProof/>
      <w:color w:val="FF0000"/>
      <w:sz w:val="26"/>
    </w:rPr>
  </w:style>
  <w:style w:type="paragraph" w:styleId="BodyText2">
    <w:name w:val="Body Text 2"/>
    <w:basedOn w:val="Normal"/>
    <w:rsid w:val="00CD3C2D"/>
    <w:pPr>
      <w:jc w:val="both"/>
    </w:pPr>
    <w:rPr>
      <w:noProof/>
      <w:sz w:val="26"/>
    </w:rPr>
  </w:style>
  <w:style w:type="paragraph" w:customStyle="1" w:styleId="EMEABodyText">
    <w:name w:val="EMEA Body Text"/>
    <w:basedOn w:val="Normal"/>
    <w:rsid w:val="00CD3C2D"/>
    <w:rPr>
      <w:sz w:val="22"/>
      <w:lang w:val="fr-BE"/>
    </w:rPr>
  </w:style>
  <w:style w:type="paragraph" w:styleId="BalloonText">
    <w:name w:val="Balloon Text"/>
    <w:basedOn w:val="Normal"/>
    <w:semiHidden/>
    <w:rsid w:val="00464B40"/>
    <w:rPr>
      <w:rFonts w:ascii="Tahoma" w:hAnsi="Tahoma" w:cs="Tahoma"/>
      <w:sz w:val="16"/>
      <w:szCs w:val="16"/>
    </w:rPr>
  </w:style>
  <w:style w:type="character" w:styleId="CommentReference">
    <w:name w:val="annotation reference"/>
    <w:basedOn w:val="DefaultParagraphFont"/>
    <w:semiHidden/>
    <w:rsid w:val="00254BCD"/>
    <w:rPr>
      <w:sz w:val="16"/>
      <w:szCs w:val="16"/>
    </w:rPr>
  </w:style>
  <w:style w:type="paragraph" w:styleId="CommentText">
    <w:name w:val="annotation text"/>
    <w:basedOn w:val="Normal"/>
    <w:semiHidden/>
    <w:rsid w:val="00254BCD"/>
    <w:rPr>
      <w:sz w:val="20"/>
    </w:rPr>
  </w:style>
  <w:style w:type="paragraph" w:styleId="CommentSubject">
    <w:name w:val="annotation subject"/>
    <w:basedOn w:val="CommentText"/>
    <w:next w:val="CommentText"/>
    <w:semiHidden/>
    <w:rsid w:val="00254BCD"/>
    <w:rPr>
      <w:b/>
      <w:bCs/>
    </w:rPr>
  </w:style>
  <w:style w:type="paragraph" w:customStyle="1" w:styleId="Default">
    <w:name w:val="Default"/>
    <w:rsid w:val="004540AE"/>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62637F"/>
    <w:pPr>
      <w:ind w:left="720"/>
      <w:contextualSpacing/>
    </w:pPr>
  </w:style>
  <w:style w:type="character" w:styleId="Hyperlink">
    <w:name w:val="Hyperlink"/>
    <w:rsid w:val="00945DF1"/>
    <w:rPr>
      <w:color w:val="0000FF"/>
      <w:u w:val="single"/>
    </w:rPr>
  </w:style>
  <w:style w:type="character" w:styleId="Emphasis">
    <w:name w:val="Emphasis"/>
    <w:basedOn w:val="DefaultParagraphFont"/>
    <w:uiPriority w:val="20"/>
    <w:qFormat/>
    <w:rsid w:val="003C53A6"/>
    <w:rPr>
      <w:b/>
      <w:bCs/>
      <w:i w:val="0"/>
      <w:iCs w:val="0"/>
    </w:rPr>
  </w:style>
  <w:style w:type="paragraph" w:customStyle="1" w:styleId="spacing1">
    <w:name w:val="spacing1"/>
    <w:basedOn w:val="Normal"/>
    <w:rsid w:val="006D46D7"/>
    <w:pPr>
      <w:spacing w:before="100" w:beforeAutospacing="1" w:after="100"/>
    </w:pPr>
    <w:rPr>
      <w:szCs w:val="24"/>
      <w:lang w:val="en-GB" w:eastAsia="en-GB"/>
    </w:rPr>
  </w:style>
  <w:style w:type="paragraph" w:customStyle="1" w:styleId="nospacing">
    <w:name w:val="nospacing"/>
    <w:basedOn w:val="Normal"/>
    <w:rsid w:val="006D46D7"/>
    <w:pPr>
      <w:spacing w:before="100" w:beforeAutospacing="1" w:after="100"/>
    </w:pPr>
    <w:rPr>
      <w:szCs w:val="24"/>
      <w:lang w:val="en-GB" w:eastAsia="en-GB"/>
    </w:rPr>
  </w:style>
  <w:style w:type="character" w:styleId="UnresolvedMention">
    <w:name w:val="Unresolved Mention"/>
    <w:basedOn w:val="DefaultParagraphFont"/>
    <w:uiPriority w:val="99"/>
    <w:semiHidden/>
    <w:unhideWhenUsed/>
    <w:rsid w:val="00BE2ABA"/>
    <w:rPr>
      <w:color w:val="605E5C"/>
      <w:shd w:val="clear" w:color="auto" w:fill="E1DFDD"/>
    </w:rPr>
  </w:style>
  <w:style w:type="paragraph" w:customStyle="1" w:styleId="xmsonormal">
    <w:name w:val="x_msonormal"/>
    <w:basedOn w:val="Normal"/>
    <w:uiPriority w:val="99"/>
    <w:rsid w:val="0028183F"/>
    <w:rPr>
      <w:rFonts w:eastAsia="Calibr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0550">
      <w:bodyDiv w:val="1"/>
      <w:marLeft w:val="0"/>
      <w:marRight w:val="0"/>
      <w:marTop w:val="0"/>
      <w:marBottom w:val="0"/>
      <w:divBdr>
        <w:top w:val="none" w:sz="0" w:space="0" w:color="auto"/>
        <w:left w:val="none" w:sz="0" w:space="0" w:color="auto"/>
        <w:bottom w:val="none" w:sz="0" w:space="0" w:color="auto"/>
        <w:right w:val="none" w:sz="0" w:space="0" w:color="auto"/>
      </w:divBdr>
      <w:divsChild>
        <w:div w:id="1296368754">
          <w:marLeft w:val="0"/>
          <w:marRight w:val="0"/>
          <w:marTop w:val="17"/>
          <w:marBottom w:val="0"/>
          <w:divBdr>
            <w:top w:val="single" w:sz="6" w:space="13" w:color="E7E7DD"/>
            <w:left w:val="single" w:sz="6" w:space="21" w:color="E7E7DD"/>
            <w:bottom w:val="single" w:sz="6" w:space="21" w:color="E7E7DD"/>
            <w:right w:val="single" w:sz="6" w:space="21" w:color="E7E7DD"/>
          </w:divBdr>
          <w:divsChild>
            <w:div w:id="1325553215">
              <w:marLeft w:val="0"/>
              <w:marRight w:val="0"/>
              <w:marTop w:val="0"/>
              <w:marBottom w:val="0"/>
              <w:divBdr>
                <w:top w:val="none" w:sz="0" w:space="0" w:color="auto"/>
                <w:left w:val="none" w:sz="0" w:space="0" w:color="auto"/>
                <w:bottom w:val="none" w:sz="0" w:space="0" w:color="auto"/>
                <w:right w:val="none" w:sz="0" w:space="0" w:color="auto"/>
              </w:divBdr>
              <w:divsChild>
                <w:div w:id="549610912">
                  <w:marLeft w:val="0"/>
                  <w:marRight w:val="0"/>
                  <w:marTop w:val="0"/>
                  <w:marBottom w:val="0"/>
                  <w:divBdr>
                    <w:top w:val="none" w:sz="0" w:space="0" w:color="auto"/>
                    <w:left w:val="none" w:sz="0" w:space="0" w:color="auto"/>
                    <w:bottom w:val="none" w:sz="0" w:space="0" w:color="auto"/>
                    <w:right w:val="none" w:sz="0" w:space="0" w:color="auto"/>
                  </w:divBdr>
                  <w:divsChild>
                    <w:div w:id="797837216">
                      <w:marLeft w:val="0"/>
                      <w:marRight w:val="0"/>
                      <w:marTop w:val="0"/>
                      <w:marBottom w:val="0"/>
                      <w:divBdr>
                        <w:top w:val="none" w:sz="0" w:space="0" w:color="auto"/>
                        <w:left w:val="none" w:sz="0" w:space="0" w:color="auto"/>
                        <w:bottom w:val="none" w:sz="0" w:space="0" w:color="auto"/>
                        <w:right w:val="none" w:sz="0" w:space="0" w:color="auto"/>
                      </w:divBdr>
                      <w:divsChild>
                        <w:div w:id="165633178">
                          <w:marLeft w:val="0"/>
                          <w:marRight w:val="0"/>
                          <w:marTop w:val="0"/>
                          <w:marBottom w:val="0"/>
                          <w:divBdr>
                            <w:top w:val="none" w:sz="0" w:space="0" w:color="auto"/>
                            <w:left w:val="none" w:sz="0" w:space="0" w:color="auto"/>
                            <w:bottom w:val="none" w:sz="0" w:space="0" w:color="auto"/>
                            <w:right w:val="none" w:sz="0" w:space="0" w:color="auto"/>
                          </w:divBdr>
                          <w:divsChild>
                            <w:div w:id="1351949127">
                              <w:marLeft w:val="0"/>
                              <w:marRight w:val="0"/>
                              <w:marTop w:val="0"/>
                              <w:marBottom w:val="0"/>
                              <w:divBdr>
                                <w:top w:val="none" w:sz="0" w:space="0" w:color="auto"/>
                                <w:left w:val="none" w:sz="0" w:space="0" w:color="auto"/>
                                <w:bottom w:val="none" w:sz="0" w:space="0" w:color="auto"/>
                                <w:right w:val="none" w:sz="0" w:space="0" w:color="auto"/>
                              </w:divBdr>
                              <w:divsChild>
                                <w:div w:id="13465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0660">
      <w:bodyDiv w:val="1"/>
      <w:marLeft w:val="0"/>
      <w:marRight w:val="0"/>
      <w:marTop w:val="0"/>
      <w:marBottom w:val="0"/>
      <w:divBdr>
        <w:top w:val="none" w:sz="0" w:space="0" w:color="auto"/>
        <w:left w:val="none" w:sz="0" w:space="0" w:color="auto"/>
        <w:bottom w:val="none" w:sz="0" w:space="0" w:color="auto"/>
        <w:right w:val="none" w:sz="0" w:space="0" w:color="auto"/>
      </w:divBdr>
    </w:div>
    <w:div w:id="425736837">
      <w:bodyDiv w:val="1"/>
      <w:marLeft w:val="0"/>
      <w:marRight w:val="0"/>
      <w:marTop w:val="0"/>
      <w:marBottom w:val="0"/>
      <w:divBdr>
        <w:top w:val="none" w:sz="0" w:space="0" w:color="auto"/>
        <w:left w:val="none" w:sz="0" w:space="0" w:color="auto"/>
        <w:bottom w:val="none" w:sz="0" w:space="0" w:color="auto"/>
        <w:right w:val="none" w:sz="0" w:space="0" w:color="auto"/>
      </w:divBdr>
    </w:div>
    <w:div w:id="570888631">
      <w:bodyDiv w:val="1"/>
      <w:marLeft w:val="0"/>
      <w:marRight w:val="0"/>
      <w:marTop w:val="0"/>
      <w:marBottom w:val="0"/>
      <w:divBdr>
        <w:top w:val="none" w:sz="0" w:space="0" w:color="auto"/>
        <w:left w:val="none" w:sz="0" w:space="0" w:color="auto"/>
        <w:bottom w:val="none" w:sz="0" w:space="0" w:color="auto"/>
        <w:right w:val="none" w:sz="0" w:space="0" w:color="auto"/>
      </w:divBdr>
    </w:div>
    <w:div w:id="1095125623">
      <w:bodyDiv w:val="1"/>
      <w:marLeft w:val="0"/>
      <w:marRight w:val="0"/>
      <w:marTop w:val="0"/>
      <w:marBottom w:val="0"/>
      <w:divBdr>
        <w:top w:val="none" w:sz="0" w:space="0" w:color="auto"/>
        <w:left w:val="none" w:sz="0" w:space="0" w:color="auto"/>
        <w:bottom w:val="none" w:sz="0" w:space="0" w:color="auto"/>
        <w:right w:val="none" w:sz="0" w:space="0" w:color="auto"/>
      </w:divBdr>
      <w:divsChild>
        <w:div w:id="1346596503">
          <w:marLeft w:val="0"/>
          <w:marRight w:val="0"/>
          <w:marTop w:val="17"/>
          <w:marBottom w:val="0"/>
          <w:divBdr>
            <w:top w:val="single" w:sz="6" w:space="13" w:color="E7E7DD"/>
            <w:left w:val="single" w:sz="6" w:space="21" w:color="E7E7DD"/>
            <w:bottom w:val="single" w:sz="6" w:space="21" w:color="E7E7DD"/>
            <w:right w:val="single" w:sz="6" w:space="21" w:color="E7E7DD"/>
          </w:divBdr>
          <w:divsChild>
            <w:div w:id="1785804639">
              <w:marLeft w:val="0"/>
              <w:marRight w:val="0"/>
              <w:marTop w:val="0"/>
              <w:marBottom w:val="0"/>
              <w:divBdr>
                <w:top w:val="none" w:sz="0" w:space="0" w:color="auto"/>
                <w:left w:val="none" w:sz="0" w:space="0" w:color="auto"/>
                <w:bottom w:val="none" w:sz="0" w:space="0" w:color="auto"/>
                <w:right w:val="none" w:sz="0" w:space="0" w:color="auto"/>
              </w:divBdr>
              <w:divsChild>
                <w:div w:id="1999379781">
                  <w:marLeft w:val="0"/>
                  <w:marRight w:val="0"/>
                  <w:marTop w:val="0"/>
                  <w:marBottom w:val="0"/>
                  <w:divBdr>
                    <w:top w:val="none" w:sz="0" w:space="0" w:color="auto"/>
                    <w:left w:val="none" w:sz="0" w:space="0" w:color="auto"/>
                    <w:bottom w:val="none" w:sz="0" w:space="0" w:color="auto"/>
                    <w:right w:val="none" w:sz="0" w:space="0" w:color="auto"/>
                  </w:divBdr>
                  <w:divsChild>
                    <w:div w:id="266694894">
                      <w:marLeft w:val="0"/>
                      <w:marRight w:val="0"/>
                      <w:marTop w:val="0"/>
                      <w:marBottom w:val="0"/>
                      <w:divBdr>
                        <w:top w:val="none" w:sz="0" w:space="0" w:color="auto"/>
                        <w:left w:val="none" w:sz="0" w:space="0" w:color="auto"/>
                        <w:bottom w:val="none" w:sz="0" w:space="0" w:color="auto"/>
                        <w:right w:val="none" w:sz="0" w:space="0" w:color="auto"/>
                      </w:divBdr>
                      <w:divsChild>
                        <w:div w:id="994266071">
                          <w:marLeft w:val="0"/>
                          <w:marRight w:val="0"/>
                          <w:marTop w:val="0"/>
                          <w:marBottom w:val="0"/>
                          <w:divBdr>
                            <w:top w:val="none" w:sz="0" w:space="0" w:color="auto"/>
                            <w:left w:val="none" w:sz="0" w:space="0" w:color="auto"/>
                            <w:bottom w:val="none" w:sz="0" w:space="0" w:color="auto"/>
                            <w:right w:val="none" w:sz="0" w:space="0" w:color="auto"/>
                          </w:divBdr>
                          <w:divsChild>
                            <w:div w:id="351346665">
                              <w:marLeft w:val="0"/>
                              <w:marRight w:val="0"/>
                              <w:marTop w:val="0"/>
                              <w:marBottom w:val="0"/>
                              <w:divBdr>
                                <w:top w:val="none" w:sz="0" w:space="0" w:color="auto"/>
                                <w:left w:val="none" w:sz="0" w:space="0" w:color="auto"/>
                                <w:bottom w:val="none" w:sz="0" w:space="0" w:color="auto"/>
                                <w:right w:val="none" w:sz="0" w:space="0" w:color="auto"/>
                              </w:divBdr>
                              <w:divsChild>
                                <w:div w:id="1383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5363">
      <w:bodyDiv w:val="1"/>
      <w:marLeft w:val="0"/>
      <w:marRight w:val="0"/>
      <w:marTop w:val="0"/>
      <w:marBottom w:val="0"/>
      <w:divBdr>
        <w:top w:val="none" w:sz="0" w:space="0" w:color="auto"/>
        <w:left w:val="none" w:sz="0" w:space="0" w:color="auto"/>
        <w:bottom w:val="none" w:sz="0" w:space="0" w:color="auto"/>
        <w:right w:val="none" w:sz="0" w:space="0" w:color="auto"/>
      </w:divBdr>
      <w:divsChild>
        <w:div w:id="1793865243">
          <w:marLeft w:val="0"/>
          <w:marRight w:val="0"/>
          <w:marTop w:val="0"/>
          <w:marBottom w:val="0"/>
          <w:divBdr>
            <w:top w:val="none" w:sz="0" w:space="0" w:color="auto"/>
            <w:left w:val="none" w:sz="0" w:space="0" w:color="auto"/>
            <w:bottom w:val="none" w:sz="0" w:space="0" w:color="auto"/>
            <w:right w:val="none" w:sz="0" w:space="0" w:color="auto"/>
          </w:divBdr>
          <w:divsChild>
            <w:div w:id="575670896">
              <w:marLeft w:val="0"/>
              <w:marRight w:val="0"/>
              <w:marTop w:val="0"/>
              <w:marBottom w:val="0"/>
              <w:divBdr>
                <w:top w:val="none" w:sz="0" w:space="0" w:color="auto"/>
                <w:left w:val="none" w:sz="0" w:space="0" w:color="auto"/>
                <w:bottom w:val="none" w:sz="0" w:space="0" w:color="auto"/>
                <w:right w:val="none" w:sz="0" w:space="0" w:color="auto"/>
              </w:divBdr>
              <w:divsChild>
                <w:div w:id="638805994">
                  <w:marLeft w:val="0"/>
                  <w:marRight w:val="0"/>
                  <w:marTop w:val="0"/>
                  <w:marBottom w:val="0"/>
                  <w:divBdr>
                    <w:top w:val="none" w:sz="0" w:space="0" w:color="auto"/>
                    <w:left w:val="none" w:sz="0" w:space="0" w:color="auto"/>
                    <w:bottom w:val="none" w:sz="0" w:space="0" w:color="auto"/>
                    <w:right w:val="none" w:sz="0" w:space="0" w:color="auto"/>
                  </w:divBdr>
                  <w:divsChild>
                    <w:div w:id="735203088">
                      <w:marLeft w:val="0"/>
                      <w:marRight w:val="0"/>
                      <w:marTop w:val="0"/>
                      <w:marBottom w:val="0"/>
                      <w:divBdr>
                        <w:top w:val="none" w:sz="0" w:space="0" w:color="auto"/>
                        <w:left w:val="none" w:sz="0" w:space="0" w:color="auto"/>
                        <w:bottom w:val="none" w:sz="0" w:space="0" w:color="auto"/>
                        <w:right w:val="none" w:sz="0" w:space="0" w:color="auto"/>
                      </w:divBdr>
                      <w:divsChild>
                        <w:div w:id="495611429">
                          <w:marLeft w:val="0"/>
                          <w:marRight w:val="0"/>
                          <w:marTop w:val="0"/>
                          <w:marBottom w:val="0"/>
                          <w:divBdr>
                            <w:top w:val="none" w:sz="0" w:space="0" w:color="auto"/>
                            <w:left w:val="none" w:sz="0" w:space="0" w:color="auto"/>
                            <w:bottom w:val="none" w:sz="0" w:space="0" w:color="auto"/>
                            <w:right w:val="none" w:sz="0" w:space="0" w:color="auto"/>
                          </w:divBdr>
                          <w:divsChild>
                            <w:div w:id="1506898913">
                              <w:marLeft w:val="0"/>
                              <w:marRight w:val="0"/>
                              <w:marTop w:val="0"/>
                              <w:marBottom w:val="0"/>
                              <w:divBdr>
                                <w:top w:val="none" w:sz="0" w:space="0" w:color="auto"/>
                                <w:left w:val="none" w:sz="0" w:space="0" w:color="auto"/>
                                <w:bottom w:val="none" w:sz="0" w:space="0" w:color="auto"/>
                                <w:right w:val="none" w:sz="0" w:space="0" w:color="auto"/>
                              </w:divBdr>
                              <w:divsChild>
                                <w:div w:id="1005860553">
                                  <w:marLeft w:val="0"/>
                                  <w:marRight w:val="0"/>
                                  <w:marTop w:val="0"/>
                                  <w:marBottom w:val="0"/>
                                  <w:divBdr>
                                    <w:top w:val="none" w:sz="0" w:space="0" w:color="auto"/>
                                    <w:left w:val="none" w:sz="0" w:space="0" w:color="auto"/>
                                    <w:bottom w:val="none" w:sz="0" w:space="0" w:color="auto"/>
                                    <w:right w:val="none" w:sz="0" w:space="0" w:color="auto"/>
                                  </w:divBdr>
                                  <w:divsChild>
                                    <w:div w:id="1801340637">
                                      <w:marLeft w:val="60"/>
                                      <w:marRight w:val="0"/>
                                      <w:marTop w:val="0"/>
                                      <w:marBottom w:val="0"/>
                                      <w:divBdr>
                                        <w:top w:val="none" w:sz="0" w:space="0" w:color="auto"/>
                                        <w:left w:val="none" w:sz="0" w:space="0" w:color="auto"/>
                                        <w:bottom w:val="none" w:sz="0" w:space="0" w:color="auto"/>
                                        <w:right w:val="none" w:sz="0" w:space="0" w:color="auto"/>
                                      </w:divBdr>
                                      <w:divsChild>
                                        <w:div w:id="1923487675">
                                          <w:marLeft w:val="0"/>
                                          <w:marRight w:val="0"/>
                                          <w:marTop w:val="0"/>
                                          <w:marBottom w:val="0"/>
                                          <w:divBdr>
                                            <w:top w:val="none" w:sz="0" w:space="0" w:color="auto"/>
                                            <w:left w:val="none" w:sz="0" w:space="0" w:color="auto"/>
                                            <w:bottom w:val="none" w:sz="0" w:space="0" w:color="auto"/>
                                            <w:right w:val="none" w:sz="0" w:space="0" w:color="auto"/>
                                          </w:divBdr>
                                          <w:divsChild>
                                            <w:div w:id="412288337">
                                              <w:marLeft w:val="0"/>
                                              <w:marRight w:val="0"/>
                                              <w:marTop w:val="0"/>
                                              <w:marBottom w:val="120"/>
                                              <w:divBdr>
                                                <w:top w:val="single" w:sz="6" w:space="0" w:color="F5F5F5"/>
                                                <w:left w:val="single" w:sz="6" w:space="0" w:color="F5F5F5"/>
                                                <w:bottom w:val="single" w:sz="6" w:space="0" w:color="F5F5F5"/>
                                                <w:right w:val="single" w:sz="6" w:space="0" w:color="F5F5F5"/>
                                              </w:divBdr>
                                              <w:divsChild>
                                                <w:div w:id="256403887">
                                                  <w:marLeft w:val="0"/>
                                                  <w:marRight w:val="0"/>
                                                  <w:marTop w:val="0"/>
                                                  <w:marBottom w:val="0"/>
                                                  <w:divBdr>
                                                    <w:top w:val="none" w:sz="0" w:space="0" w:color="auto"/>
                                                    <w:left w:val="none" w:sz="0" w:space="0" w:color="auto"/>
                                                    <w:bottom w:val="none" w:sz="0" w:space="0" w:color="auto"/>
                                                    <w:right w:val="none" w:sz="0" w:space="0" w:color="auto"/>
                                                  </w:divBdr>
                                                  <w:divsChild>
                                                    <w:div w:id="17606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2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501537">
          <w:marLeft w:val="0"/>
          <w:marRight w:val="0"/>
          <w:marTop w:val="0"/>
          <w:marBottom w:val="0"/>
          <w:divBdr>
            <w:top w:val="none" w:sz="0" w:space="0" w:color="auto"/>
            <w:left w:val="none" w:sz="0" w:space="0" w:color="auto"/>
            <w:bottom w:val="none" w:sz="0" w:space="0" w:color="auto"/>
            <w:right w:val="none" w:sz="0" w:space="0" w:color="auto"/>
          </w:divBdr>
          <w:divsChild>
            <w:div w:id="120537149">
              <w:marLeft w:val="0"/>
              <w:marRight w:val="0"/>
              <w:marTop w:val="0"/>
              <w:marBottom w:val="0"/>
              <w:divBdr>
                <w:top w:val="none" w:sz="0" w:space="0" w:color="auto"/>
                <w:left w:val="none" w:sz="0" w:space="0" w:color="auto"/>
                <w:bottom w:val="none" w:sz="0" w:space="0" w:color="auto"/>
                <w:right w:val="none" w:sz="0" w:space="0" w:color="auto"/>
              </w:divBdr>
              <w:divsChild>
                <w:div w:id="1134103700">
                  <w:marLeft w:val="0"/>
                  <w:marRight w:val="0"/>
                  <w:marTop w:val="0"/>
                  <w:marBottom w:val="0"/>
                  <w:divBdr>
                    <w:top w:val="none" w:sz="0" w:space="0" w:color="auto"/>
                    <w:left w:val="none" w:sz="0" w:space="0" w:color="auto"/>
                    <w:bottom w:val="none" w:sz="0" w:space="0" w:color="auto"/>
                    <w:right w:val="none" w:sz="0" w:space="0" w:color="auto"/>
                  </w:divBdr>
                  <w:divsChild>
                    <w:div w:id="454524652">
                      <w:marLeft w:val="0"/>
                      <w:marRight w:val="0"/>
                      <w:marTop w:val="0"/>
                      <w:marBottom w:val="0"/>
                      <w:divBdr>
                        <w:top w:val="none" w:sz="0" w:space="0" w:color="auto"/>
                        <w:left w:val="none" w:sz="0" w:space="0" w:color="auto"/>
                        <w:bottom w:val="none" w:sz="0" w:space="0" w:color="auto"/>
                        <w:right w:val="none" w:sz="0" w:space="0" w:color="auto"/>
                      </w:divBdr>
                      <w:divsChild>
                        <w:div w:id="1354498295">
                          <w:marLeft w:val="0"/>
                          <w:marRight w:val="0"/>
                          <w:marTop w:val="0"/>
                          <w:marBottom w:val="0"/>
                          <w:divBdr>
                            <w:top w:val="none" w:sz="0" w:space="0" w:color="auto"/>
                            <w:left w:val="none" w:sz="0" w:space="0" w:color="auto"/>
                            <w:bottom w:val="none" w:sz="0" w:space="0" w:color="auto"/>
                            <w:right w:val="none" w:sz="0" w:space="0" w:color="auto"/>
                          </w:divBdr>
                          <w:divsChild>
                            <w:div w:id="1502503231">
                              <w:marLeft w:val="0"/>
                              <w:marRight w:val="0"/>
                              <w:marTop w:val="0"/>
                              <w:marBottom w:val="0"/>
                              <w:divBdr>
                                <w:top w:val="none" w:sz="0" w:space="0" w:color="auto"/>
                                <w:left w:val="none" w:sz="0" w:space="0" w:color="auto"/>
                                <w:bottom w:val="none" w:sz="0" w:space="0" w:color="auto"/>
                                <w:right w:val="none" w:sz="0" w:space="0" w:color="auto"/>
                              </w:divBdr>
                              <w:divsChild>
                                <w:div w:id="1984237148">
                                  <w:marLeft w:val="0"/>
                                  <w:marRight w:val="0"/>
                                  <w:marTop w:val="0"/>
                                  <w:marBottom w:val="0"/>
                                  <w:divBdr>
                                    <w:top w:val="none" w:sz="0" w:space="0" w:color="auto"/>
                                    <w:left w:val="none" w:sz="0" w:space="0" w:color="auto"/>
                                    <w:bottom w:val="none" w:sz="0" w:space="0" w:color="auto"/>
                                    <w:right w:val="none" w:sz="0" w:space="0" w:color="auto"/>
                                  </w:divBdr>
                                  <w:divsChild>
                                    <w:div w:id="1094010811">
                                      <w:marLeft w:val="0"/>
                                      <w:marRight w:val="0"/>
                                      <w:marTop w:val="0"/>
                                      <w:marBottom w:val="0"/>
                                      <w:divBdr>
                                        <w:top w:val="none" w:sz="0" w:space="0" w:color="auto"/>
                                        <w:left w:val="none" w:sz="0" w:space="0" w:color="auto"/>
                                        <w:bottom w:val="none" w:sz="0" w:space="0" w:color="auto"/>
                                        <w:right w:val="none" w:sz="0" w:space="0" w:color="auto"/>
                                      </w:divBdr>
                                      <w:divsChild>
                                        <w:div w:id="1446995903">
                                          <w:marLeft w:val="0"/>
                                          <w:marRight w:val="0"/>
                                          <w:marTop w:val="0"/>
                                          <w:marBottom w:val="0"/>
                                          <w:divBdr>
                                            <w:top w:val="none" w:sz="0" w:space="0" w:color="auto"/>
                                            <w:left w:val="none" w:sz="0" w:space="0" w:color="auto"/>
                                            <w:bottom w:val="none" w:sz="0" w:space="0" w:color="auto"/>
                                            <w:right w:val="none" w:sz="0" w:space="0" w:color="auto"/>
                                          </w:divBdr>
                                          <w:divsChild>
                                            <w:div w:id="1754080461">
                                              <w:marLeft w:val="0"/>
                                              <w:marRight w:val="0"/>
                                              <w:marTop w:val="0"/>
                                              <w:marBottom w:val="495"/>
                                              <w:divBdr>
                                                <w:top w:val="none" w:sz="0" w:space="0" w:color="auto"/>
                                                <w:left w:val="none" w:sz="0" w:space="0" w:color="auto"/>
                                                <w:bottom w:val="none" w:sz="0" w:space="0" w:color="auto"/>
                                                <w:right w:val="none" w:sz="0" w:space="0" w:color="auto"/>
                                              </w:divBdr>
                                              <w:divsChild>
                                                <w:div w:id="18788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49243">
      <w:bodyDiv w:val="1"/>
      <w:marLeft w:val="0"/>
      <w:marRight w:val="0"/>
      <w:marTop w:val="0"/>
      <w:marBottom w:val="0"/>
      <w:divBdr>
        <w:top w:val="none" w:sz="0" w:space="0" w:color="auto"/>
        <w:left w:val="none" w:sz="0" w:space="0" w:color="auto"/>
        <w:bottom w:val="none" w:sz="0" w:space="0" w:color="auto"/>
        <w:right w:val="none" w:sz="0" w:space="0" w:color="auto"/>
      </w:divBdr>
      <w:divsChild>
        <w:div w:id="1638534821">
          <w:marLeft w:val="0"/>
          <w:marRight w:val="0"/>
          <w:marTop w:val="0"/>
          <w:marBottom w:val="0"/>
          <w:divBdr>
            <w:top w:val="none" w:sz="0" w:space="0" w:color="auto"/>
            <w:left w:val="none" w:sz="0" w:space="0" w:color="auto"/>
            <w:bottom w:val="none" w:sz="0" w:space="0" w:color="auto"/>
            <w:right w:val="none" w:sz="0" w:space="0" w:color="auto"/>
          </w:divBdr>
          <w:divsChild>
            <w:div w:id="158156961">
              <w:marLeft w:val="0"/>
              <w:marRight w:val="0"/>
              <w:marTop w:val="0"/>
              <w:marBottom w:val="0"/>
              <w:divBdr>
                <w:top w:val="none" w:sz="0" w:space="0" w:color="auto"/>
                <w:left w:val="none" w:sz="0" w:space="0" w:color="auto"/>
                <w:bottom w:val="none" w:sz="0" w:space="0" w:color="auto"/>
                <w:right w:val="none" w:sz="0" w:space="0" w:color="auto"/>
              </w:divBdr>
              <w:divsChild>
                <w:div w:id="1433209053">
                  <w:marLeft w:val="0"/>
                  <w:marRight w:val="0"/>
                  <w:marTop w:val="0"/>
                  <w:marBottom w:val="0"/>
                  <w:divBdr>
                    <w:top w:val="none" w:sz="0" w:space="0" w:color="auto"/>
                    <w:left w:val="none" w:sz="0" w:space="0" w:color="auto"/>
                    <w:bottom w:val="none" w:sz="0" w:space="0" w:color="auto"/>
                    <w:right w:val="none" w:sz="0" w:space="0" w:color="auto"/>
                  </w:divBdr>
                  <w:divsChild>
                    <w:div w:id="918559541">
                      <w:marLeft w:val="0"/>
                      <w:marRight w:val="0"/>
                      <w:marTop w:val="0"/>
                      <w:marBottom w:val="0"/>
                      <w:divBdr>
                        <w:top w:val="none" w:sz="0" w:space="0" w:color="auto"/>
                        <w:left w:val="none" w:sz="0" w:space="0" w:color="auto"/>
                        <w:bottom w:val="none" w:sz="0" w:space="0" w:color="auto"/>
                        <w:right w:val="none" w:sz="0" w:space="0" w:color="auto"/>
                      </w:divBdr>
                      <w:divsChild>
                        <w:div w:id="918322363">
                          <w:marLeft w:val="0"/>
                          <w:marRight w:val="0"/>
                          <w:marTop w:val="0"/>
                          <w:marBottom w:val="0"/>
                          <w:divBdr>
                            <w:top w:val="none" w:sz="0" w:space="0" w:color="auto"/>
                            <w:left w:val="none" w:sz="0" w:space="0" w:color="auto"/>
                            <w:bottom w:val="none" w:sz="0" w:space="0" w:color="auto"/>
                            <w:right w:val="none" w:sz="0" w:space="0" w:color="auto"/>
                          </w:divBdr>
                          <w:divsChild>
                            <w:div w:id="2063164444">
                              <w:marLeft w:val="0"/>
                              <w:marRight w:val="0"/>
                              <w:marTop w:val="0"/>
                              <w:marBottom w:val="0"/>
                              <w:divBdr>
                                <w:top w:val="none" w:sz="0" w:space="0" w:color="auto"/>
                                <w:left w:val="none" w:sz="0" w:space="0" w:color="auto"/>
                                <w:bottom w:val="none" w:sz="0" w:space="0" w:color="auto"/>
                                <w:right w:val="none" w:sz="0" w:space="0" w:color="auto"/>
                              </w:divBdr>
                              <w:divsChild>
                                <w:div w:id="1081558511">
                                  <w:marLeft w:val="0"/>
                                  <w:marRight w:val="0"/>
                                  <w:marTop w:val="0"/>
                                  <w:marBottom w:val="0"/>
                                  <w:divBdr>
                                    <w:top w:val="none" w:sz="0" w:space="0" w:color="auto"/>
                                    <w:left w:val="none" w:sz="0" w:space="0" w:color="auto"/>
                                    <w:bottom w:val="none" w:sz="0" w:space="0" w:color="auto"/>
                                    <w:right w:val="none" w:sz="0" w:space="0" w:color="auto"/>
                                  </w:divBdr>
                                  <w:divsChild>
                                    <w:div w:id="743600434">
                                      <w:marLeft w:val="0"/>
                                      <w:marRight w:val="0"/>
                                      <w:marTop w:val="0"/>
                                      <w:marBottom w:val="0"/>
                                      <w:divBdr>
                                        <w:top w:val="none" w:sz="0" w:space="0" w:color="auto"/>
                                        <w:left w:val="none" w:sz="0" w:space="0" w:color="auto"/>
                                        <w:bottom w:val="none" w:sz="0" w:space="0" w:color="auto"/>
                                        <w:right w:val="none" w:sz="0" w:space="0" w:color="auto"/>
                                      </w:divBdr>
                                      <w:divsChild>
                                        <w:div w:id="145367033">
                                          <w:marLeft w:val="0"/>
                                          <w:marRight w:val="0"/>
                                          <w:marTop w:val="0"/>
                                          <w:marBottom w:val="0"/>
                                          <w:divBdr>
                                            <w:top w:val="none" w:sz="0" w:space="0" w:color="auto"/>
                                            <w:left w:val="none" w:sz="0" w:space="0" w:color="auto"/>
                                            <w:bottom w:val="none" w:sz="0" w:space="0" w:color="auto"/>
                                            <w:right w:val="none" w:sz="0" w:space="0" w:color="auto"/>
                                          </w:divBdr>
                                          <w:divsChild>
                                            <w:div w:id="379937295">
                                              <w:marLeft w:val="0"/>
                                              <w:marRight w:val="0"/>
                                              <w:marTop w:val="0"/>
                                              <w:marBottom w:val="495"/>
                                              <w:divBdr>
                                                <w:top w:val="none" w:sz="0" w:space="0" w:color="auto"/>
                                                <w:left w:val="none" w:sz="0" w:space="0" w:color="auto"/>
                                                <w:bottom w:val="none" w:sz="0" w:space="0" w:color="auto"/>
                                                <w:right w:val="none" w:sz="0" w:space="0" w:color="auto"/>
                                              </w:divBdr>
                                              <w:divsChild>
                                                <w:div w:id="17538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450962">
      <w:bodyDiv w:val="1"/>
      <w:marLeft w:val="0"/>
      <w:marRight w:val="0"/>
      <w:marTop w:val="0"/>
      <w:marBottom w:val="0"/>
      <w:divBdr>
        <w:top w:val="none" w:sz="0" w:space="0" w:color="auto"/>
        <w:left w:val="none" w:sz="0" w:space="0" w:color="auto"/>
        <w:bottom w:val="none" w:sz="0" w:space="0" w:color="auto"/>
        <w:right w:val="none" w:sz="0" w:space="0" w:color="auto"/>
      </w:divBdr>
    </w:div>
    <w:div w:id="1730491161">
      <w:bodyDiv w:val="1"/>
      <w:marLeft w:val="0"/>
      <w:marRight w:val="0"/>
      <w:marTop w:val="0"/>
      <w:marBottom w:val="0"/>
      <w:divBdr>
        <w:top w:val="none" w:sz="0" w:space="0" w:color="auto"/>
        <w:left w:val="none" w:sz="0" w:space="0" w:color="auto"/>
        <w:bottom w:val="none" w:sz="0" w:space="0" w:color="auto"/>
        <w:right w:val="none" w:sz="0" w:space="0" w:color="auto"/>
      </w:divBdr>
      <w:divsChild>
        <w:div w:id="1872381736">
          <w:marLeft w:val="0"/>
          <w:marRight w:val="0"/>
          <w:marTop w:val="0"/>
          <w:marBottom w:val="0"/>
          <w:divBdr>
            <w:top w:val="none" w:sz="0" w:space="0" w:color="auto"/>
            <w:left w:val="none" w:sz="0" w:space="0" w:color="auto"/>
            <w:bottom w:val="none" w:sz="0" w:space="0" w:color="auto"/>
            <w:right w:val="none" w:sz="0" w:space="0" w:color="auto"/>
          </w:divBdr>
          <w:divsChild>
            <w:div w:id="1703434226">
              <w:marLeft w:val="0"/>
              <w:marRight w:val="0"/>
              <w:marTop w:val="0"/>
              <w:marBottom w:val="0"/>
              <w:divBdr>
                <w:top w:val="none" w:sz="0" w:space="0" w:color="auto"/>
                <w:left w:val="none" w:sz="0" w:space="0" w:color="auto"/>
                <w:bottom w:val="none" w:sz="0" w:space="0" w:color="auto"/>
                <w:right w:val="none" w:sz="0" w:space="0" w:color="auto"/>
              </w:divBdr>
              <w:divsChild>
                <w:div w:id="1432235918">
                  <w:marLeft w:val="0"/>
                  <w:marRight w:val="0"/>
                  <w:marTop w:val="0"/>
                  <w:marBottom w:val="0"/>
                  <w:divBdr>
                    <w:top w:val="none" w:sz="0" w:space="0" w:color="auto"/>
                    <w:left w:val="none" w:sz="0" w:space="0" w:color="auto"/>
                    <w:bottom w:val="none" w:sz="0" w:space="0" w:color="auto"/>
                    <w:right w:val="none" w:sz="0" w:space="0" w:color="auto"/>
                  </w:divBdr>
                  <w:divsChild>
                    <w:div w:id="1085149761">
                      <w:marLeft w:val="0"/>
                      <w:marRight w:val="0"/>
                      <w:marTop w:val="0"/>
                      <w:marBottom w:val="0"/>
                      <w:divBdr>
                        <w:top w:val="none" w:sz="0" w:space="0" w:color="auto"/>
                        <w:left w:val="none" w:sz="0" w:space="0" w:color="auto"/>
                        <w:bottom w:val="none" w:sz="0" w:space="0" w:color="auto"/>
                        <w:right w:val="none" w:sz="0" w:space="0" w:color="auto"/>
                      </w:divBdr>
                      <w:divsChild>
                        <w:div w:id="925114605">
                          <w:marLeft w:val="0"/>
                          <w:marRight w:val="0"/>
                          <w:marTop w:val="0"/>
                          <w:marBottom w:val="0"/>
                          <w:divBdr>
                            <w:top w:val="none" w:sz="0" w:space="0" w:color="auto"/>
                            <w:left w:val="none" w:sz="0" w:space="0" w:color="auto"/>
                            <w:bottom w:val="none" w:sz="0" w:space="0" w:color="auto"/>
                            <w:right w:val="none" w:sz="0" w:space="0" w:color="auto"/>
                          </w:divBdr>
                          <w:divsChild>
                            <w:div w:id="1915964663">
                              <w:marLeft w:val="0"/>
                              <w:marRight w:val="0"/>
                              <w:marTop w:val="0"/>
                              <w:marBottom w:val="0"/>
                              <w:divBdr>
                                <w:top w:val="none" w:sz="0" w:space="0" w:color="auto"/>
                                <w:left w:val="none" w:sz="0" w:space="0" w:color="auto"/>
                                <w:bottom w:val="none" w:sz="0" w:space="0" w:color="auto"/>
                                <w:right w:val="none" w:sz="0" w:space="0" w:color="auto"/>
                              </w:divBdr>
                              <w:divsChild>
                                <w:div w:id="1049067208">
                                  <w:marLeft w:val="0"/>
                                  <w:marRight w:val="0"/>
                                  <w:marTop w:val="0"/>
                                  <w:marBottom w:val="0"/>
                                  <w:divBdr>
                                    <w:top w:val="none" w:sz="0" w:space="0" w:color="auto"/>
                                    <w:left w:val="none" w:sz="0" w:space="0" w:color="auto"/>
                                    <w:bottom w:val="none" w:sz="0" w:space="0" w:color="auto"/>
                                    <w:right w:val="none" w:sz="0" w:space="0" w:color="auto"/>
                                  </w:divBdr>
                                  <w:divsChild>
                                    <w:div w:id="508299343">
                                      <w:marLeft w:val="0"/>
                                      <w:marRight w:val="0"/>
                                      <w:marTop w:val="0"/>
                                      <w:marBottom w:val="0"/>
                                      <w:divBdr>
                                        <w:top w:val="none" w:sz="0" w:space="0" w:color="auto"/>
                                        <w:left w:val="none" w:sz="0" w:space="0" w:color="auto"/>
                                        <w:bottom w:val="none" w:sz="0" w:space="0" w:color="auto"/>
                                        <w:right w:val="none" w:sz="0" w:space="0" w:color="auto"/>
                                      </w:divBdr>
                                      <w:divsChild>
                                        <w:div w:id="1281450729">
                                          <w:marLeft w:val="0"/>
                                          <w:marRight w:val="0"/>
                                          <w:marTop w:val="0"/>
                                          <w:marBottom w:val="0"/>
                                          <w:divBdr>
                                            <w:top w:val="none" w:sz="0" w:space="0" w:color="auto"/>
                                            <w:left w:val="none" w:sz="0" w:space="0" w:color="auto"/>
                                            <w:bottom w:val="none" w:sz="0" w:space="0" w:color="auto"/>
                                            <w:right w:val="none" w:sz="0" w:space="0" w:color="auto"/>
                                          </w:divBdr>
                                          <w:divsChild>
                                            <w:div w:id="114371179">
                                              <w:marLeft w:val="0"/>
                                              <w:marRight w:val="0"/>
                                              <w:marTop w:val="0"/>
                                              <w:marBottom w:val="495"/>
                                              <w:divBdr>
                                                <w:top w:val="none" w:sz="0" w:space="0" w:color="auto"/>
                                                <w:left w:val="none" w:sz="0" w:space="0" w:color="auto"/>
                                                <w:bottom w:val="none" w:sz="0" w:space="0" w:color="auto"/>
                                                <w:right w:val="none" w:sz="0" w:space="0" w:color="auto"/>
                                              </w:divBdr>
                                              <w:divsChild>
                                                <w:div w:id="1961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779881">
      <w:bodyDiv w:val="1"/>
      <w:marLeft w:val="0"/>
      <w:marRight w:val="0"/>
      <w:marTop w:val="0"/>
      <w:marBottom w:val="0"/>
      <w:divBdr>
        <w:top w:val="none" w:sz="0" w:space="0" w:color="auto"/>
        <w:left w:val="none" w:sz="0" w:space="0" w:color="auto"/>
        <w:bottom w:val="none" w:sz="0" w:space="0" w:color="auto"/>
        <w:right w:val="none" w:sz="0" w:space="0" w:color="auto"/>
      </w:divBdr>
      <w:divsChild>
        <w:div w:id="42561873">
          <w:marLeft w:val="0"/>
          <w:marRight w:val="0"/>
          <w:marTop w:val="17"/>
          <w:marBottom w:val="0"/>
          <w:divBdr>
            <w:top w:val="single" w:sz="6" w:space="13" w:color="E7E7DD"/>
            <w:left w:val="single" w:sz="6" w:space="21" w:color="E7E7DD"/>
            <w:bottom w:val="single" w:sz="6" w:space="21" w:color="E7E7DD"/>
            <w:right w:val="single" w:sz="6" w:space="21" w:color="E7E7DD"/>
          </w:divBdr>
          <w:divsChild>
            <w:div w:id="807624374">
              <w:marLeft w:val="0"/>
              <w:marRight w:val="0"/>
              <w:marTop w:val="0"/>
              <w:marBottom w:val="0"/>
              <w:divBdr>
                <w:top w:val="none" w:sz="0" w:space="0" w:color="auto"/>
                <w:left w:val="none" w:sz="0" w:space="0" w:color="auto"/>
                <w:bottom w:val="none" w:sz="0" w:space="0" w:color="auto"/>
                <w:right w:val="none" w:sz="0" w:space="0" w:color="auto"/>
              </w:divBdr>
              <w:divsChild>
                <w:div w:id="1779594990">
                  <w:marLeft w:val="0"/>
                  <w:marRight w:val="0"/>
                  <w:marTop w:val="0"/>
                  <w:marBottom w:val="0"/>
                  <w:divBdr>
                    <w:top w:val="none" w:sz="0" w:space="0" w:color="auto"/>
                    <w:left w:val="none" w:sz="0" w:space="0" w:color="auto"/>
                    <w:bottom w:val="none" w:sz="0" w:space="0" w:color="auto"/>
                    <w:right w:val="none" w:sz="0" w:space="0" w:color="auto"/>
                  </w:divBdr>
                  <w:divsChild>
                    <w:div w:id="465469408">
                      <w:marLeft w:val="0"/>
                      <w:marRight w:val="0"/>
                      <w:marTop w:val="0"/>
                      <w:marBottom w:val="0"/>
                      <w:divBdr>
                        <w:top w:val="none" w:sz="0" w:space="0" w:color="auto"/>
                        <w:left w:val="none" w:sz="0" w:space="0" w:color="auto"/>
                        <w:bottom w:val="none" w:sz="0" w:space="0" w:color="auto"/>
                        <w:right w:val="none" w:sz="0" w:space="0" w:color="auto"/>
                      </w:divBdr>
                      <w:divsChild>
                        <w:div w:id="1106849102">
                          <w:marLeft w:val="0"/>
                          <w:marRight w:val="0"/>
                          <w:marTop w:val="0"/>
                          <w:marBottom w:val="0"/>
                          <w:divBdr>
                            <w:top w:val="none" w:sz="0" w:space="0" w:color="auto"/>
                            <w:left w:val="none" w:sz="0" w:space="0" w:color="auto"/>
                            <w:bottom w:val="none" w:sz="0" w:space="0" w:color="auto"/>
                            <w:right w:val="none" w:sz="0" w:space="0" w:color="auto"/>
                          </w:divBdr>
                          <w:divsChild>
                            <w:div w:id="741559089">
                              <w:marLeft w:val="0"/>
                              <w:marRight w:val="0"/>
                              <w:marTop w:val="0"/>
                              <w:marBottom w:val="0"/>
                              <w:divBdr>
                                <w:top w:val="none" w:sz="0" w:space="0" w:color="auto"/>
                                <w:left w:val="none" w:sz="0" w:space="0" w:color="auto"/>
                                <w:bottom w:val="none" w:sz="0" w:space="0" w:color="auto"/>
                                <w:right w:val="none" w:sz="0" w:space="0" w:color="auto"/>
                              </w:divBdr>
                              <w:divsChild>
                                <w:div w:id="771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20471">
      <w:bodyDiv w:val="1"/>
      <w:marLeft w:val="0"/>
      <w:marRight w:val="0"/>
      <w:marTop w:val="0"/>
      <w:marBottom w:val="0"/>
      <w:divBdr>
        <w:top w:val="none" w:sz="0" w:space="0" w:color="auto"/>
        <w:left w:val="none" w:sz="0" w:space="0" w:color="auto"/>
        <w:bottom w:val="none" w:sz="0" w:space="0" w:color="auto"/>
        <w:right w:val="none" w:sz="0" w:space="0" w:color="auto"/>
      </w:divBdr>
      <w:divsChild>
        <w:div w:id="1263538627">
          <w:marLeft w:val="0"/>
          <w:marRight w:val="0"/>
          <w:marTop w:val="17"/>
          <w:marBottom w:val="0"/>
          <w:divBdr>
            <w:top w:val="single" w:sz="6" w:space="13" w:color="E7E7DD"/>
            <w:left w:val="single" w:sz="6" w:space="21" w:color="E7E7DD"/>
            <w:bottom w:val="single" w:sz="6" w:space="21" w:color="E7E7DD"/>
            <w:right w:val="single" w:sz="6" w:space="21" w:color="E7E7DD"/>
          </w:divBdr>
          <w:divsChild>
            <w:div w:id="520511867">
              <w:marLeft w:val="0"/>
              <w:marRight w:val="0"/>
              <w:marTop w:val="0"/>
              <w:marBottom w:val="0"/>
              <w:divBdr>
                <w:top w:val="none" w:sz="0" w:space="0" w:color="auto"/>
                <w:left w:val="none" w:sz="0" w:space="0" w:color="auto"/>
                <w:bottom w:val="none" w:sz="0" w:space="0" w:color="auto"/>
                <w:right w:val="none" w:sz="0" w:space="0" w:color="auto"/>
              </w:divBdr>
              <w:divsChild>
                <w:div w:id="205458070">
                  <w:marLeft w:val="0"/>
                  <w:marRight w:val="0"/>
                  <w:marTop w:val="0"/>
                  <w:marBottom w:val="0"/>
                  <w:divBdr>
                    <w:top w:val="none" w:sz="0" w:space="0" w:color="auto"/>
                    <w:left w:val="none" w:sz="0" w:space="0" w:color="auto"/>
                    <w:bottom w:val="none" w:sz="0" w:space="0" w:color="auto"/>
                    <w:right w:val="none" w:sz="0" w:space="0" w:color="auto"/>
                  </w:divBdr>
                  <w:divsChild>
                    <w:div w:id="711929796">
                      <w:marLeft w:val="0"/>
                      <w:marRight w:val="0"/>
                      <w:marTop w:val="0"/>
                      <w:marBottom w:val="0"/>
                      <w:divBdr>
                        <w:top w:val="none" w:sz="0" w:space="0" w:color="auto"/>
                        <w:left w:val="none" w:sz="0" w:space="0" w:color="auto"/>
                        <w:bottom w:val="none" w:sz="0" w:space="0" w:color="auto"/>
                        <w:right w:val="none" w:sz="0" w:space="0" w:color="auto"/>
                      </w:divBdr>
                      <w:divsChild>
                        <w:div w:id="1874003746">
                          <w:marLeft w:val="0"/>
                          <w:marRight w:val="0"/>
                          <w:marTop w:val="0"/>
                          <w:marBottom w:val="0"/>
                          <w:divBdr>
                            <w:top w:val="none" w:sz="0" w:space="0" w:color="auto"/>
                            <w:left w:val="none" w:sz="0" w:space="0" w:color="auto"/>
                            <w:bottom w:val="none" w:sz="0" w:space="0" w:color="auto"/>
                            <w:right w:val="none" w:sz="0" w:space="0" w:color="auto"/>
                          </w:divBdr>
                          <w:divsChild>
                            <w:div w:id="1341199364">
                              <w:marLeft w:val="0"/>
                              <w:marRight w:val="0"/>
                              <w:marTop w:val="0"/>
                              <w:marBottom w:val="0"/>
                              <w:divBdr>
                                <w:top w:val="none" w:sz="0" w:space="0" w:color="auto"/>
                                <w:left w:val="none" w:sz="0" w:space="0" w:color="auto"/>
                                <w:bottom w:val="none" w:sz="0" w:space="0" w:color="auto"/>
                                <w:right w:val="none" w:sz="0" w:space="0" w:color="auto"/>
                              </w:divBdr>
                              <w:divsChild>
                                <w:div w:id="53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113023">
      <w:bodyDiv w:val="1"/>
      <w:marLeft w:val="0"/>
      <w:marRight w:val="0"/>
      <w:marTop w:val="0"/>
      <w:marBottom w:val="0"/>
      <w:divBdr>
        <w:top w:val="none" w:sz="0" w:space="0" w:color="auto"/>
        <w:left w:val="none" w:sz="0" w:space="0" w:color="auto"/>
        <w:bottom w:val="none" w:sz="0" w:space="0" w:color="auto"/>
        <w:right w:val="none" w:sz="0" w:space="0" w:color="auto"/>
      </w:divBdr>
      <w:divsChild>
        <w:div w:id="1266040773">
          <w:marLeft w:val="0"/>
          <w:marRight w:val="0"/>
          <w:marTop w:val="0"/>
          <w:marBottom w:val="0"/>
          <w:divBdr>
            <w:top w:val="none" w:sz="0" w:space="0" w:color="auto"/>
            <w:left w:val="none" w:sz="0" w:space="0" w:color="auto"/>
            <w:bottom w:val="none" w:sz="0" w:space="0" w:color="auto"/>
            <w:right w:val="none" w:sz="0" w:space="0" w:color="auto"/>
          </w:divBdr>
          <w:divsChild>
            <w:div w:id="110171540">
              <w:marLeft w:val="0"/>
              <w:marRight w:val="0"/>
              <w:marTop w:val="0"/>
              <w:marBottom w:val="0"/>
              <w:divBdr>
                <w:top w:val="none" w:sz="0" w:space="0" w:color="auto"/>
                <w:left w:val="none" w:sz="0" w:space="0" w:color="auto"/>
                <w:bottom w:val="none" w:sz="0" w:space="0" w:color="auto"/>
                <w:right w:val="none" w:sz="0" w:space="0" w:color="auto"/>
              </w:divBdr>
              <w:divsChild>
                <w:div w:id="412700377">
                  <w:marLeft w:val="0"/>
                  <w:marRight w:val="0"/>
                  <w:marTop w:val="0"/>
                  <w:marBottom w:val="0"/>
                  <w:divBdr>
                    <w:top w:val="none" w:sz="0" w:space="0" w:color="auto"/>
                    <w:left w:val="none" w:sz="0" w:space="0" w:color="auto"/>
                    <w:bottom w:val="none" w:sz="0" w:space="0" w:color="auto"/>
                    <w:right w:val="none" w:sz="0" w:space="0" w:color="auto"/>
                  </w:divBdr>
                  <w:divsChild>
                    <w:div w:id="153104651">
                      <w:marLeft w:val="0"/>
                      <w:marRight w:val="0"/>
                      <w:marTop w:val="0"/>
                      <w:marBottom w:val="0"/>
                      <w:divBdr>
                        <w:top w:val="none" w:sz="0" w:space="0" w:color="auto"/>
                        <w:left w:val="none" w:sz="0" w:space="0" w:color="auto"/>
                        <w:bottom w:val="none" w:sz="0" w:space="0" w:color="auto"/>
                        <w:right w:val="none" w:sz="0" w:space="0" w:color="auto"/>
                      </w:divBdr>
                      <w:divsChild>
                        <w:div w:id="315964110">
                          <w:marLeft w:val="0"/>
                          <w:marRight w:val="0"/>
                          <w:marTop w:val="0"/>
                          <w:marBottom w:val="0"/>
                          <w:divBdr>
                            <w:top w:val="none" w:sz="0" w:space="0" w:color="auto"/>
                            <w:left w:val="none" w:sz="0" w:space="0" w:color="auto"/>
                            <w:bottom w:val="none" w:sz="0" w:space="0" w:color="auto"/>
                            <w:right w:val="none" w:sz="0" w:space="0" w:color="auto"/>
                          </w:divBdr>
                          <w:divsChild>
                            <w:div w:id="377779192">
                              <w:marLeft w:val="0"/>
                              <w:marRight w:val="0"/>
                              <w:marTop w:val="0"/>
                              <w:marBottom w:val="0"/>
                              <w:divBdr>
                                <w:top w:val="none" w:sz="0" w:space="0" w:color="auto"/>
                                <w:left w:val="none" w:sz="0" w:space="0" w:color="auto"/>
                                <w:bottom w:val="none" w:sz="0" w:space="0" w:color="auto"/>
                                <w:right w:val="none" w:sz="0" w:space="0" w:color="auto"/>
                              </w:divBdr>
                              <w:divsChild>
                                <w:div w:id="1597665478">
                                  <w:marLeft w:val="0"/>
                                  <w:marRight w:val="0"/>
                                  <w:marTop w:val="0"/>
                                  <w:marBottom w:val="0"/>
                                  <w:divBdr>
                                    <w:top w:val="none" w:sz="0" w:space="0" w:color="auto"/>
                                    <w:left w:val="none" w:sz="0" w:space="0" w:color="auto"/>
                                    <w:bottom w:val="none" w:sz="0" w:space="0" w:color="auto"/>
                                    <w:right w:val="none" w:sz="0" w:space="0" w:color="auto"/>
                                  </w:divBdr>
                                  <w:divsChild>
                                    <w:div w:id="1664354167">
                                      <w:marLeft w:val="0"/>
                                      <w:marRight w:val="0"/>
                                      <w:marTop w:val="0"/>
                                      <w:marBottom w:val="0"/>
                                      <w:divBdr>
                                        <w:top w:val="none" w:sz="0" w:space="0" w:color="auto"/>
                                        <w:left w:val="none" w:sz="0" w:space="0" w:color="auto"/>
                                        <w:bottom w:val="none" w:sz="0" w:space="0" w:color="auto"/>
                                        <w:right w:val="none" w:sz="0" w:space="0" w:color="auto"/>
                                      </w:divBdr>
                                      <w:divsChild>
                                        <w:div w:id="14817174">
                                          <w:marLeft w:val="0"/>
                                          <w:marRight w:val="0"/>
                                          <w:marTop w:val="0"/>
                                          <w:marBottom w:val="0"/>
                                          <w:divBdr>
                                            <w:top w:val="none" w:sz="0" w:space="0" w:color="auto"/>
                                            <w:left w:val="none" w:sz="0" w:space="0" w:color="auto"/>
                                            <w:bottom w:val="none" w:sz="0" w:space="0" w:color="auto"/>
                                            <w:right w:val="none" w:sz="0" w:space="0" w:color="auto"/>
                                          </w:divBdr>
                                          <w:divsChild>
                                            <w:div w:id="1912881940">
                                              <w:marLeft w:val="0"/>
                                              <w:marRight w:val="0"/>
                                              <w:marTop w:val="0"/>
                                              <w:marBottom w:val="495"/>
                                              <w:divBdr>
                                                <w:top w:val="none" w:sz="0" w:space="0" w:color="auto"/>
                                                <w:left w:val="none" w:sz="0" w:space="0" w:color="auto"/>
                                                <w:bottom w:val="none" w:sz="0" w:space="0" w:color="auto"/>
                                                <w:right w:val="none" w:sz="0" w:space="0" w:color="auto"/>
                                              </w:divBdr>
                                              <w:divsChild>
                                                <w:div w:id="663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afmps.b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otifieruneffetindesirable.be"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chet.public.lu/fr/entreprises/sectoriel/sante/medecins/notification-effets-indesirables-medicame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armacovigilance@ms.etat.lu" TargetMode="External"/><Relationship Id="rId4" Type="http://schemas.openxmlformats.org/officeDocument/2006/relationships/webSettings" Target="webSettings.xml"/><Relationship Id="rId9" Type="http://schemas.openxmlformats.org/officeDocument/2006/relationships/hyperlink" Target="mailto:crpv@chru-nancy.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EC14ED97D9A43B08DDAA405536B26" ma:contentTypeVersion="15" ma:contentTypeDescription="Een nieuw document maken." ma:contentTypeScope="" ma:versionID="1dc2e63fdeba572dcc64cae847bab39e">
  <xsd:schema xmlns:xsd="http://www.w3.org/2001/XMLSchema" xmlns:xs="http://www.w3.org/2001/XMLSchema" xmlns:p="http://schemas.microsoft.com/office/2006/metadata/properties" xmlns:ns2="22eb1db5-e918-47df-8fc8-32a8eb2b2026" xmlns:ns3="96072482-ffa5-4611-a7e5-2ae0d28a9ca7" targetNamespace="http://schemas.microsoft.com/office/2006/metadata/properties" ma:root="true" ma:fieldsID="cfc93f66fdfb76df98330428b44168a0" ns2:_="" ns3:_="">
    <xsd:import namespace="22eb1db5-e918-47df-8fc8-32a8eb2b2026"/>
    <xsd:import namespace="96072482-ffa5-4611-a7e5-2ae0d28a9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b1db5-e918-47df-8fc8-32a8eb2b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00d0e4d-6dbe-4744-b9b7-9b3beb0d1f1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72482-ffa5-4611-a7e5-2ae0d28a9ca7"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0" nillable="true" ma:displayName="Taxonomy Catch All Column" ma:hidden="true" ma:list="{2a2bc704-06bf-4a7d-bde8-d582ca425ac5}" ma:internalName="TaxCatchAll" ma:showField="CatchAllData" ma:web="96072482-ffa5-4611-a7e5-2ae0d28a9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b1db5-e918-47df-8fc8-32a8eb2b2026">
      <Terms xmlns="http://schemas.microsoft.com/office/infopath/2007/PartnerControls"/>
    </lcf76f155ced4ddcb4097134ff3c332f>
    <TaxCatchAll xmlns="96072482-ffa5-4611-a7e5-2ae0d28a9ca7" xsi:nil="true"/>
  </documentManagement>
</p:properties>
</file>

<file path=customXml/itemProps1.xml><?xml version="1.0" encoding="utf-8"?>
<ds:datastoreItem xmlns:ds="http://schemas.openxmlformats.org/officeDocument/2006/customXml" ds:itemID="{C172E17F-A227-495F-A3E6-D8D624B1D739}"/>
</file>

<file path=customXml/itemProps2.xml><?xml version="1.0" encoding="utf-8"?>
<ds:datastoreItem xmlns:ds="http://schemas.openxmlformats.org/officeDocument/2006/customXml" ds:itemID="{C1FBDC61-A952-496A-9B7F-3CD59F7B85E6}"/>
</file>

<file path=customXml/itemProps3.xml><?xml version="1.0" encoding="utf-8"?>
<ds:datastoreItem xmlns:ds="http://schemas.openxmlformats.org/officeDocument/2006/customXml" ds:itemID="{BF4F31B6-6010-45C1-A26B-B3DBFA7C9C83}"/>
</file>

<file path=docProps/app.xml><?xml version="1.0" encoding="utf-8"?>
<Properties xmlns="http://schemas.openxmlformats.org/officeDocument/2006/extended-properties" xmlns:vt="http://schemas.openxmlformats.org/officeDocument/2006/docPropsVTypes">
  <Template>Normal</Template>
  <TotalTime>3</TotalTime>
  <Pages>17</Pages>
  <Words>5263</Words>
  <Characters>33506</Characters>
  <Application>Microsoft Office Word</Application>
  <DocSecurity>0</DocSecurity>
  <Lines>279</Lines>
  <Paragraphs>77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ANNEXE I</vt:lpstr>
      <vt:lpstr>ANNEXE I</vt:lpstr>
      <vt:lpstr>ANNEXE I</vt:lpstr>
    </vt:vector>
  </TitlesOfParts>
  <Company>GROUPE UPSA</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dc:title>
  <dc:creator>Laboratoires UPSA</dc:creator>
  <cp:lastModifiedBy>Paree, Dimitri</cp:lastModifiedBy>
  <cp:revision>4</cp:revision>
  <cp:lastPrinted>2013-06-03T14:32:00Z</cp:lastPrinted>
  <dcterms:created xsi:type="dcterms:W3CDTF">2021-08-11T11:10:00Z</dcterms:created>
  <dcterms:modified xsi:type="dcterms:W3CDTF">2021-10-13T05:22:00Z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0x0101001C8EC14ED97D9A43B08DDAA405536B26</vt:lpwstr>
  </property>
</Properties>
</file>