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289BD" w14:textId="3898D7F6" w:rsidR="004F2AD8" w:rsidRPr="00AA5893" w:rsidRDefault="004F2AD8">
      <w:pPr>
        <w:pStyle w:val="Heading2"/>
        <w:jc w:val="center"/>
        <w:rPr>
          <w:bCs w:val="0"/>
          <w:lang w:val="nl-NL"/>
        </w:rPr>
      </w:pPr>
      <w:r w:rsidRPr="00AA5893">
        <w:rPr>
          <w:bCs w:val="0"/>
          <w:lang w:val="nl-NL"/>
        </w:rPr>
        <w:t xml:space="preserve">SAMENVATTING VAN DE </w:t>
      </w:r>
      <w:r w:rsidR="00770643">
        <w:rPr>
          <w:bCs w:val="0"/>
          <w:lang w:val="nl-NL"/>
        </w:rPr>
        <w:t>PRODUCT</w:t>
      </w:r>
      <w:r w:rsidRPr="00AA5893">
        <w:rPr>
          <w:bCs w:val="0"/>
          <w:lang w:val="nl-NL"/>
        </w:rPr>
        <w:t>KENMERKEN</w:t>
      </w:r>
    </w:p>
    <w:p w14:paraId="574B032E" w14:textId="77777777" w:rsidR="004F2AD8" w:rsidRPr="00996C1F" w:rsidRDefault="004F2AD8">
      <w:pPr>
        <w:pStyle w:val="Heading2"/>
        <w:rPr>
          <w:lang w:val="nl-NL"/>
        </w:rPr>
      </w:pPr>
    </w:p>
    <w:p w14:paraId="73C5EEA6" w14:textId="77777777" w:rsidR="004F2AD8" w:rsidRPr="00996C1F" w:rsidRDefault="004F2AD8">
      <w:pPr>
        <w:pStyle w:val="Heading2"/>
        <w:rPr>
          <w:lang w:val="nl-NL"/>
        </w:rPr>
      </w:pPr>
      <w:r w:rsidRPr="00996C1F">
        <w:rPr>
          <w:lang w:val="nl-NL"/>
        </w:rPr>
        <w:t>1.</w:t>
      </w:r>
      <w:r w:rsidRPr="00996C1F">
        <w:rPr>
          <w:lang w:val="nl-NL"/>
        </w:rPr>
        <w:tab/>
        <w:t>NAAM VAN HET GENEESMIDDEL</w:t>
      </w:r>
    </w:p>
    <w:p w14:paraId="0B614893" w14:textId="77777777" w:rsidR="004F2AD8" w:rsidRPr="00996C1F" w:rsidRDefault="004F2AD8">
      <w:pPr>
        <w:pStyle w:val="Header"/>
        <w:tabs>
          <w:tab w:val="clear" w:pos="9072"/>
        </w:tabs>
        <w:ind w:left="227" w:hanging="227"/>
        <w:rPr>
          <w:lang w:val="nl-NL"/>
        </w:rPr>
      </w:pPr>
    </w:p>
    <w:p w14:paraId="2E29E308" w14:textId="77777777" w:rsidR="004F2AD8" w:rsidRPr="00996C1F" w:rsidRDefault="004F2AD8">
      <w:pPr>
        <w:pStyle w:val="Heading3"/>
        <w:rPr>
          <w:u w:val="none"/>
          <w:lang w:val="nl-NL"/>
        </w:rPr>
      </w:pPr>
      <w:r w:rsidRPr="00996C1F">
        <w:rPr>
          <w:u w:val="none"/>
          <w:lang w:val="nl-NL"/>
        </w:rPr>
        <w:t>Kenacort-A 10 mg/ml suspensie voor injectie</w:t>
      </w:r>
    </w:p>
    <w:p w14:paraId="17F76327" w14:textId="77777777" w:rsidR="004F2AD8" w:rsidRPr="00996C1F" w:rsidRDefault="004F2AD8">
      <w:pPr>
        <w:pStyle w:val="Header"/>
        <w:tabs>
          <w:tab w:val="clear" w:pos="9072"/>
        </w:tabs>
        <w:ind w:left="227" w:hanging="227"/>
        <w:rPr>
          <w:lang w:val="nl-NL"/>
        </w:rPr>
      </w:pPr>
    </w:p>
    <w:p w14:paraId="08A3A052" w14:textId="77777777" w:rsidR="004F2AD8" w:rsidRPr="00996C1F" w:rsidRDefault="004F2AD8">
      <w:pPr>
        <w:pStyle w:val="Heading2"/>
        <w:rPr>
          <w:lang w:val="nl-NL"/>
        </w:rPr>
      </w:pPr>
      <w:r w:rsidRPr="00996C1F">
        <w:rPr>
          <w:lang w:val="nl-NL"/>
        </w:rPr>
        <w:t>2.</w:t>
      </w:r>
      <w:r w:rsidRPr="00996C1F">
        <w:rPr>
          <w:lang w:val="nl-NL"/>
        </w:rPr>
        <w:tab/>
        <w:t>KWALITATIEVE EN KWANTITATIEVE SAMENSTELLING</w:t>
      </w:r>
    </w:p>
    <w:p w14:paraId="084A1267" w14:textId="77777777" w:rsidR="004F2AD8" w:rsidRPr="00996C1F" w:rsidRDefault="004F2AD8">
      <w:pPr>
        <w:tabs>
          <w:tab w:val="left" w:pos="-1440"/>
        </w:tabs>
        <w:ind w:left="270"/>
        <w:rPr>
          <w:lang w:val="nl-NL"/>
        </w:rPr>
      </w:pPr>
    </w:p>
    <w:p w14:paraId="1CB0BE21" w14:textId="77777777" w:rsidR="004F2AD8" w:rsidRPr="002957EB" w:rsidRDefault="004F2AD8">
      <w:pPr>
        <w:tabs>
          <w:tab w:val="left" w:pos="-1440"/>
        </w:tabs>
        <w:ind w:left="227"/>
        <w:rPr>
          <w:lang w:val="nl-BE"/>
        </w:rPr>
      </w:pPr>
      <w:r w:rsidRPr="002957EB">
        <w:rPr>
          <w:lang w:val="nl-BE"/>
        </w:rPr>
        <w:t>Kenacort-A 10 mg/ml:  triamcinolonacetonide 10 mg/ml</w:t>
      </w:r>
    </w:p>
    <w:p w14:paraId="6A6A9BFA" w14:textId="77777777" w:rsidR="00391D56" w:rsidRDefault="004F2AD8">
      <w:pPr>
        <w:pStyle w:val="BodyText"/>
        <w:tabs>
          <w:tab w:val="left" w:leader="dot" w:pos="6804"/>
          <w:tab w:val="decimal" w:pos="7655"/>
        </w:tabs>
        <w:spacing w:after="0"/>
        <w:ind w:left="227" w:hanging="227"/>
        <w:rPr>
          <w:rFonts w:ascii="Times New Roman" w:hAnsi="Times New Roman"/>
          <w:lang w:val="nl-BE"/>
        </w:rPr>
      </w:pPr>
      <w:r w:rsidRPr="002957EB">
        <w:rPr>
          <w:rFonts w:ascii="Times New Roman" w:hAnsi="Times New Roman"/>
          <w:lang w:val="nl-BE"/>
        </w:rPr>
        <w:tab/>
      </w:r>
    </w:p>
    <w:p w14:paraId="437AC11E" w14:textId="16EEAC8D" w:rsidR="000B56E5" w:rsidRDefault="00391D56">
      <w:pPr>
        <w:pStyle w:val="BodyText"/>
        <w:tabs>
          <w:tab w:val="left" w:leader="dot" w:pos="6804"/>
          <w:tab w:val="decimal" w:pos="7655"/>
        </w:tabs>
        <w:spacing w:after="0"/>
        <w:ind w:left="227" w:hanging="227"/>
        <w:rPr>
          <w:rFonts w:ascii="Times New Roman" w:hAnsi="Times New Roman"/>
          <w:lang w:val="nl-NL"/>
        </w:rPr>
      </w:pPr>
      <w:r>
        <w:rPr>
          <w:rFonts w:ascii="Times New Roman" w:hAnsi="Times New Roman"/>
          <w:lang w:val="nl-BE"/>
        </w:rPr>
        <w:tab/>
      </w:r>
      <w:r w:rsidR="004644D4" w:rsidRPr="00391D56">
        <w:rPr>
          <w:rFonts w:ascii="Times New Roman" w:hAnsi="Times New Roman"/>
          <w:u w:val="single"/>
          <w:lang w:val="nl-NL"/>
        </w:rPr>
        <w:t>Hulpstof</w:t>
      </w:r>
      <w:r w:rsidR="00EC3957" w:rsidRPr="00391D56">
        <w:rPr>
          <w:rFonts w:ascii="Times New Roman" w:hAnsi="Times New Roman"/>
          <w:u w:val="single"/>
          <w:lang w:val="nl-NL"/>
        </w:rPr>
        <w:t>(</w:t>
      </w:r>
      <w:r w:rsidR="004644D4" w:rsidRPr="00391D56">
        <w:rPr>
          <w:rFonts w:ascii="Times New Roman" w:hAnsi="Times New Roman"/>
          <w:u w:val="single"/>
          <w:lang w:val="nl-NL"/>
        </w:rPr>
        <w:t>fen</w:t>
      </w:r>
      <w:r w:rsidR="00EC3957" w:rsidRPr="00391D56">
        <w:rPr>
          <w:rFonts w:ascii="Times New Roman" w:hAnsi="Times New Roman"/>
          <w:u w:val="single"/>
          <w:lang w:val="nl-NL"/>
        </w:rPr>
        <w:t>)</w:t>
      </w:r>
      <w:r w:rsidR="000B56E5" w:rsidRPr="00391D56">
        <w:rPr>
          <w:rFonts w:ascii="Times New Roman" w:hAnsi="Times New Roman"/>
          <w:u w:val="single"/>
          <w:lang w:val="nl-NL"/>
        </w:rPr>
        <w:t xml:space="preserve"> </w:t>
      </w:r>
      <w:r w:rsidR="00EC3957" w:rsidRPr="00391D56">
        <w:rPr>
          <w:rFonts w:ascii="Times New Roman" w:hAnsi="Times New Roman"/>
          <w:u w:val="single"/>
          <w:lang w:val="nl-NL"/>
        </w:rPr>
        <w:t>met bekend effect</w:t>
      </w:r>
      <w:r w:rsidR="000B56E5" w:rsidRPr="00996C1F">
        <w:rPr>
          <w:rFonts w:ascii="Times New Roman" w:hAnsi="Times New Roman"/>
          <w:lang w:val="nl-NL"/>
        </w:rPr>
        <w:t xml:space="preserve">: Kenacort-A 10 mg/ml </w:t>
      </w:r>
      <w:r w:rsidR="004644D4" w:rsidRPr="00996C1F">
        <w:rPr>
          <w:rFonts w:ascii="Times New Roman" w:hAnsi="Times New Roman"/>
          <w:lang w:val="nl-NL"/>
        </w:rPr>
        <w:t>bevat</w:t>
      </w:r>
      <w:r w:rsidR="000B56E5" w:rsidRPr="00996C1F">
        <w:rPr>
          <w:rFonts w:ascii="Times New Roman" w:hAnsi="Times New Roman"/>
          <w:lang w:val="nl-NL"/>
        </w:rPr>
        <w:t xml:space="preserve"> 45 mg </w:t>
      </w:r>
      <w:r w:rsidR="00982AAB" w:rsidRPr="00996C1F">
        <w:rPr>
          <w:rFonts w:ascii="Times New Roman" w:hAnsi="Times New Roman"/>
          <w:lang w:val="nl-NL"/>
        </w:rPr>
        <w:t>benzylalcohol per</w:t>
      </w:r>
      <w:r w:rsidR="000B56E5" w:rsidRPr="00996C1F">
        <w:rPr>
          <w:rFonts w:ascii="Times New Roman" w:hAnsi="Times New Roman"/>
          <w:lang w:val="nl-NL"/>
        </w:rPr>
        <w:t xml:space="preserve"> </w:t>
      </w:r>
      <w:r w:rsidR="00982AAB" w:rsidRPr="00996C1F">
        <w:rPr>
          <w:rFonts w:ascii="Times New Roman" w:hAnsi="Times New Roman"/>
          <w:lang w:val="nl-NL"/>
        </w:rPr>
        <w:t>flesje met 5 ml Kenacort-A 10 mg/ml</w:t>
      </w:r>
      <w:r w:rsidR="000B56E5" w:rsidRPr="00996C1F">
        <w:rPr>
          <w:rFonts w:ascii="Times New Roman" w:hAnsi="Times New Roman"/>
          <w:lang w:val="nl-NL"/>
        </w:rPr>
        <w:t>.</w:t>
      </w:r>
    </w:p>
    <w:p w14:paraId="574F8087" w14:textId="77777777" w:rsidR="005C0648" w:rsidRPr="00996C1F" w:rsidRDefault="005C0648">
      <w:pPr>
        <w:pStyle w:val="BodyText"/>
        <w:tabs>
          <w:tab w:val="left" w:leader="dot" w:pos="6804"/>
          <w:tab w:val="decimal" w:pos="7655"/>
        </w:tabs>
        <w:spacing w:after="0"/>
        <w:ind w:left="227" w:hanging="227"/>
        <w:rPr>
          <w:rFonts w:ascii="Times New Roman" w:hAnsi="Times New Roman"/>
          <w:lang w:val="nl-NL"/>
        </w:rPr>
      </w:pPr>
    </w:p>
    <w:p w14:paraId="200292B6" w14:textId="77777777" w:rsidR="004F2AD8" w:rsidRPr="00996C1F" w:rsidRDefault="000B56E5">
      <w:pPr>
        <w:pStyle w:val="BodyText"/>
        <w:tabs>
          <w:tab w:val="left" w:leader="dot" w:pos="6804"/>
          <w:tab w:val="decimal" w:pos="7655"/>
        </w:tabs>
        <w:spacing w:after="0"/>
        <w:ind w:left="227" w:hanging="227"/>
        <w:rPr>
          <w:rFonts w:ascii="Times New Roman" w:hAnsi="Times New Roman"/>
          <w:lang w:val="nl-NL"/>
        </w:rPr>
      </w:pPr>
      <w:r w:rsidRPr="00996C1F">
        <w:rPr>
          <w:rFonts w:ascii="Times New Roman" w:hAnsi="Times New Roman"/>
          <w:lang w:val="nl-NL"/>
        </w:rPr>
        <w:tab/>
      </w:r>
      <w:r w:rsidR="004F2AD8" w:rsidRPr="00996C1F">
        <w:rPr>
          <w:rFonts w:ascii="Times New Roman" w:hAnsi="Times New Roman"/>
          <w:lang w:val="nl-NL"/>
        </w:rPr>
        <w:t xml:space="preserve">Voor de </w:t>
      </w:r>
      <w:r w:rsidR="00C77B1B" w:rsidRPr="00996C1F">
        <w:rPr>
          <w:rFonts w:ascii="Times New Roman" w:hAnsi="Times New Roman"/>
          <w:lang w:val="nl-NL"/>
        </w:rPr>
        <w:t xml:space="preserve">volledige lijst van </w:t>
      </w:r>
      <w:r w:rsidR="004F2AD8" w:rsidRPr="00996C1F">
        <w:rPr>
          <w:rFonts w:ascii="Times New Roman" w:hAnsi="Times New Roman"/>
          <w:lang w:val="nl-NL"/>
        </w:rPr>
        <w:t>hulpstoffen, zie rubriek 6.1.</w:t>
      </w:r>
    </w:p>
    <w:p w14:paraId="1DC31787" w14:textId="77777777" w:rsidR="004F2AD8" w:rsidRPr="00996C1F" w:rsidRDefault="004F2AD8">
      <w:pPr>
        <w:pStyle w:val="BodyText"/>
        <w:tabs>
          <w:tab w:val="left" w:leader="dot" w:pos="6804"/>
          <w:tab w:val="decimal" w:pos="7655"/>
        </w:tabs>
        <w:spacing w:after="0"/>
        <w:ind w:left="227" w:hanging="227"/>
        <w:rPr>
          <w:rFonts w:ascii="Times New Roman" w:hAnsi="Times New Roman"/>
          <w:lang w:val="nl-NL"/>
        </w:rPr>
      </w:pPr>
    </w:p>
    <w:p w14:paraId="606A4D7D" w14:textId="77777777" w:rsidR="004F2AD8" w:rsidRPr="00996C1F" w:rsidRDefault="004F2AD8">
      <w:pPr>
        <w:pStyle w:val="Heading2"/>
        <w:rPr>
          <w:lang w:val="nl-NL"/>
        </w:rPr>
      </w:pPr>
      <w:r w:rsidRPr="00996C1F">
        <w:rPr>
          <w:lang w:val="nl-NL"/>
        </w:rPr>
        <w:t>3.</w:t>
      </w:r>
      <w:r w:rsidRPr="00996C1F">
        <w:rPr>
          <w:lang w:val="nl-NL"/>
        </w:rPr>
        <w:tab/>
        <w:t>FARMACEUTISCHE VORM</w:t>
      </w:r>
    </w:p>
    <w:p w14:paraId="692B9E22" w14:textId="77777777" w:rsidR="004F2AD8" w:rsidRPr="00996C1F" w:rsidRDefault="004F2AD8">
      <w:pPr>
        <w:ind w:left="227" w:hanging="227"/>
        <w:rPr>
          <w:lang w:val="nl-NL"/>
        </w:rPr>
      </w:pPr>
    </w:p>
    <w:p w14:paraId="495E6381" w14:textId="77777777" w:rsidR="004F2AD8" w:rsidRDefault="004F2AD8">
      <w:pPr>
        <w:ind w:left="227"/>
        <w:rPr>
          <w:lang w:val="nl-NL"/>
        </w:rPr>
      </w:pPr>
      <w:r w:rsidRPr="00996C1F">
        <w:rPr>
          <w:lang w:val="nl-NL"/>
        </w:rPr>
        <w:t>Suspensie voor injectie.</w:t>
      </w:r>
    </w:p>
    <w:p w14:paraId="451C2DF2" w14:textId="77777777" w:rsidR="00CF7D4B" w:rsidRPr="00CF7D4B" w:rsidRDefault="00CF7D4B" w:rsidP="00CF7D4B">
      <w:pPr>
        <w:ind w:left="227"/>
        <w:rPr>
          <w:lang w:val="nl-NL"/>
        </w:rPr>
      </w:pPr>
      <w:r>
        <w:rPr>
          <w:lang w:val="nl-NL"/>
        </w:rPr>
        <w:t>Kenacort-A 10 mg/ml is een witte tot gebroken witte vloeibare suspensie.</w:t>
      </w:r>
    </w:p>
    <w:p w14:paraId="447B5A2B" w14:textId="77777777" w:rsidR="00391D56" w:rsidRDefault="00391D56" w:rsidP="005C0648">
      <w:pPr>
        <w:ind w:left="227"/>
        <w:rPr>
          <w:lang w:val="nl-NL"/>
        </w:rPr>
      </w:pPr>
    </w:p>
    <w:p w14:paraId="651B6DD6" w14:textId="5E60D940" w:rsidR="005C0648" w:rsidRDefault="00EE7800" w:rsidP="005C0648">
      <w:pPr>
        <w:ind w:left="227"/>
        <w:rPr>
          <w:lang w:val="nl-NL"/>
        </w:rPr>
      </w:pPr>
      <w:r w:rsidRPr="00996C1F">
        <w:rPr>
          <w:lang w:val="nl-NL"/>
        </w:rPr>
        <w:t>De formulering is niet geschikt voor intraveneuze, intramusculaire of intra-oculaire toediening.</w:t>
      </w:r>
    </w:p>
    <w:p w14:paraId="68518B2C" w14:textId="77777777" w:rsidR="005C0648" w:rsidRDefault="005C0648" w:rsidP="005C0648">
      <w:pPr>
        <w:ind w:left="227"/>
        <w:rPr>
          <w:lang w:val="nl-NL"/>
        </w:rPr>
      </w:pPr>
    </w:p>
    <w:p w14:paraId="1B550E6C" w14:textId="77777777" w:rsidR="005C0648" w:rsidRPr="00996C1F" w:rsidRDefault="005C0648" w:rsidP="005C0648">
      <w:pPr>
        <w:ind w:left="227"/>
        <w:rPr>
          <w:lang w:val="nl-NL"/>
        </w:rPr>
      </w:pPr>
    </w:p>
    <w:p w14:paraId="29170D3E" w14:textId="77777777" w:rsidR="004F2AD8" w:rsidRPr="00996C1F" w:rsidRDefault="004F2AD8">
      <w:pPr>
        <w:pStyle w:val="Heading2"/>
        <w:rPr>
          <w:lang w:val="nl-NL"/>
        </w:rPr>
      </w:pPr>
      <w:r w:rsidRPr="00996C1F">
        <w:rPr>
          <w:lang w:val="nl-NL"/>
        </w:rPr>
        <w:t>4.</w:t>
      </w:r>
      <w:r w:rsidRPr="00996C1F">
        <w:rPr>
          <w:lang w:val="nl-NL"/>
        </w:rPr>
        <w:tab/>
        <w:t>KLINISCHE GEGEVENS</w:t>
      </w:r>
    </w:p>
    <w:p w14:paraId="7463CC5A" w14:textId="77777777" w:rsidR="004F2AD8" w:rsidRPr="00996C1F" w:rsidRDefault="004F2AD8">
      <w:pPr>
        <w:ind w:left="454" w:hanging="227"/>
        <w:rPr>
          <w:lang w:val="nl-NL"/>
        </w:rPr>
      </w:pPr>
    </w:p>
    <w:p w14:paraId="33A387D1" w14:textId="77777777" w:rsidR="004F2AD8" w:rsidRPr="00017F88" w:rsidRDefault="004F2AD8">
      <w:pPr>
        <w:pStyle w:val="Heading3"/>
        <w:ind w:left="454" w:hanging="227"/>
        <w:rPr>
          <w:b/>
          <w:u w:val="none"/>
          <w:lang w:val="nl-NL"/>
        </w:rPr>
      </w:pPr>
      <w:r w:rsidRPr="00017F88">
        <w:rPr>
          <w:b/>
          <w:u w:val="none"/>
          <w:lang w:val="nl-NL"/>
        </w:rPr>
        <w:t>4.1</w:t>
      </w:r>
      <w:r w:rsidRPr="00017F88">
        <w:rPr>
          <w:b/>
          <w:u w:val="none"/>
          <w:lang w:val="nl-NL"/>
        </w:rPr>
        <w:tab/>
        <w:t>Therapeutische indicaties</w:t>
      </w:r>
    </w:p>
    <w:p w14:paraId="239E1ECA" w14:textId="77777777" w:rsidR="009E6BD7" w:rsidRPr="009E6BD7" w:rsidRDefault="009E6BD7" w:rsidP="009E6BD7">
      <w:pPr>
        <w:rPr>
          <w:lang w:val="nl-NL"/>
        </w:rPr>
      </w:pPr>
    </w:p>
    <w:p w14:paraId="040FF843" w14:textId="5AA1D773" w:rsidR="004F2AD8" w:rsidRPr="00996C1F" w:rsidRDefault="004F2AD8">
      <w:pPr>
        <w:ind w:left="681"/>
        <w:rPr>
          <w:i/>
          <w:lang w:val="nl-NL"/>
        </w:rPr>
      </w:pPr>
      <w:r w:rsidRPr="00996C1F">
        <w:rPr>
          <w:i/>
          <w:lang w:val="nl-NL"/>
        </w:rPr>
        <w:t>Intra-articulair gebruik:</w:t>
      </w:r>
    </w:p>
    <w:p w14:paraId="73B3E3C0" w14:textId="77777777" w:rsidR="004F2AD8" w:rsidRPr="00996C1F" w:rsidRDefault="004F2AD8">
      <w:pPr>
        <w:ind w:left="681"/>
        <w:rPr>
          <w:lang w:val="nl-NL"/>
        </w:rPr>
      </w:pPr>
      <w:r w:rsidRPr="00996C1F">
        <w:rPr>
          <w:lang w:val="nl-NL"/>
        </w:rPr>
        <w:t>Kenacort-A 10 mg/ml wordt intra-articulair toegediend in de slijmbeurzen of in de peesscheden, als aanvullende behandeling van korte duur bij een acute aanval of verergering van de volgende aandoeningen: osteoartropathie, artrose, reumatische artritis, acute of subacute bursitis, acute jichtartritis, epicondylitis, niet-specifieke acute tenosynovitis, posttraumatische artrose.</w:t>
      </w:r>
    </w:p>
    <w:p w14:paraId="57352C8B" w14:textId="77777777" w:rsidR="004F2AD8" w:rsidRPr="00996C1F" w:rsidRDefault="004F2AD8">
      <w:pPr>
        <w:ind w:left="681"/>
        <w:rPr>
          <w:lang w:val="nl-NL"/>
        </w:rPr>
      </w:pPr>
    </w:p>
    <w:p w14:paraId="2DFAAAA3" w14:textId="77777777" w:rsidR="004F2AD8" w:rsidRPr="00996C1F" w:rsidRDefault="004F2AD8">
      <w:pPr>
        <w:ind w:left="681"/>
        <w:rPr>
          <w:i/>
          <w:lang w:val="nl-NL"/>
        </w:rPr>
      </w:pPr>
      <w:r w:rsidRPr="00996C1F">
        <w:rPr>
          <w:i/>
          <w:lang w:val="nl-NL"/>
        </w:rPr>
        <w:t>Intradermaal gebruik :</w:t>
      </w:r>
    </w:p>
    <w:p w14:paraId="0470F667" w14:textId="77777777" w:rsidR="004F2AD8" w:rsidRPr="00996C1F" w:rsidRDefault="004F2AD8">
      <w:pPr>
        <w:ind w:left="681"/>
        <w:rPr>
          <w:lang w:val="nl-NL"/>
        </w:rPr>
      </w:pPr>
      <w:r w:rsidRPr="00996C1F">
        <w:rPr>
          <w:vanish/>
          <w:lang w:val="nl-NL"/>
        </w:rPr>
        <w:t xml:space="preserve"> </w:t>
      </w:r>
      <w:r w:rsidRPr="00996C1F">
        <w:rPr>
          <w:lang w:val="nl-NL"/>
        </w:rPr>
        <w:t>Kenacort-A 10 mg/ml is aangewezen voor toediening in het letsel bij de behandeling van keloïd, lupus erythematodes discoides, necrobiosis lipoidica, pelade en bij plaatselijke, ontstoken, hypertrofische en geïnfiltreerde huidletsels zoals lichen planus, psoriasis, granuloma annulare, neurodermatitis.</w:t>
      </w:r>
    </w:p>
    <w:p w14:paraId="7CA96FF5" w14:textId="77777777" w:rsidR="004F2AD8" w:rsidRPr="00996C1F" w:rsidRDefault="004F2AD8">
      <w:pPr>
        <w:ind w:left="681"/>
        <w:rPr>
          <w:lang w:val="nl-NL"/>
        </w:rPr>
      </w:pPr>
      <w:r w:rsidRPr="00996C1F">
        <w:rPr>
          <w:vanish/>
          <w:lang w:val="nl-NL"/>
        </w:rPr>
        <w:t xml:space="preserve"> </w:t>
      </w:r>
      <w:r w:rsidRPr="00996C1F">
        <w:rPr>
          <w:lang w:val="nl-NL"/>
        </w:rPr>
        <w:t>Kenacort-A 10 mg/ml kan eveneens nuttig blijken bij cysteuze tumoren van een spierschede of een pees.</w:t>
      </w:r>
    </w:p>
    <w:p w14:paraId="0B390018" w14:textId="77777777" w:rsidR="004F2AD8" w:rsidRPr="00996C1F" w:rsidRDefault="004F2AD8">
      <w:pPr>
        <w:ind w:left="454" w:hanging="227"/>
        <w:rPr>
          <w:lang w:val="nl-NL"/>
        </w:rPr>
      </w:pPr>
    </w:p>
    <w:p w14:paraId="24C55663" w14:textId="77777777" w:rsidR="004F2AD8" w:rsidRPr="00017F88" w:rsidRDefault="004F2AD8">
      <w:pPr>
        <w:pStyle w:val="Heading3"/>
        <w:ind w:left="454" w:hanging="227"/>
        <w:rPr>
          <w:b/>
          <w:u w:val="none"/>
          <w:lang w:val="nl-NL"/>
        </w:rPr>
      </w:pPr>
      <w:r w:rsidRPr="00017F88">
        <w:rPr>
          <w:b/>
          <w:u w:val="none"/>
          <w:lang w:val="nl-NL"/>
        </w:rPr>
        <w:t>4.2</w:t>
      </w:r>
      <w:r w:rsidRPr="00017F88">
        <w:rPr>
          <w:b/>
          <w:u w:val="none"/>
          <w:lang w:val="nl-NL"/>
        </w:rPr>
        <w:tab/>
        <w:t>Dosering en wijze van toediening</w:t>
      </w:r>
    </w:p>
    <w:p w14:paraId="418FDA3F" w14:textId="77777777" w:rsidR="004F2AD8" w:rsidRPr="00996C1F" w:rsidRDefault="004F2AD8">
      <w:pPr>
        <w:ind w:left="681" w:hanging="227"/>
        <w:rPr>
          <w:lang w:val="nl-NL"/>
        </w:rPr>
      </w:pPr>
    </w:p>
    <w:p w14:paraId="46B48B43" w14:textId="77777777" w:rsidR="004F2AD8" w:rsidRPr="00996C1F" w:rsidRDefault="004F2AD8">
      <w:pPr>
        <w:pStyle w:val="Heading9"/>
        <w:tabs>
          <w:tab w:val="left" w:pos="1276"/>
        </w:tabs>
        <w:ind w:hanging="227"/>
        <w:jc w:val="left"/>
        <w:rPr>
          <w:sz w:val="24"/>
          <w:lang w:val="nl-NL"/>
        </w:rPr>
      </w:pPr>
      <w:r w:rsidRPr="00996C1F">
        <w:rPr>
          <w:sz w:val="24"/>
          <w:u w:val="none"/>
          <w:lang w:val="nl-NL"/>
        </w:rPr>
        <w:tab/>
      </w:r>
      <w:r w:rsidRPr="00996C1F">
        <w:rPr>
          <w:sz w:val="24"/>
          <w:lang w:val="nl-NL"/>
        </w:rPr>
        <w:t>Dosering</w:t>
      </w:r>
    </w:p>
    <w:p w14:paraId="174F6428" w14:textId="77777777" w:rsidR="004F2AD8" w:rsidRPr="00996C1F" w:rsidRDefault="004F2AD8">
      <w:pPr>
        <w:ind w:left="681"/>
        <w:rPr>
          <w:lang w:val="nl-NL"/>
        </w:rPr>
      </w:pPr>
    </w:p>
    <w:p w14:paraId="5BC20BB3" w14:textId="77777777" w:rsidR="004F2AD8" w:rsidRPr="00996C1F" w:rsidRDefault="004F2AD8">
      <w:pPr>
        <w:ind w:left="681"/>
        <w:rPr>
          <w:lang w:val="nl-NL"/>
        </w:rPr>
      </w:pPr>
      <w:r w:rsidRPr="00996C1F">
        <w:rPr>
          <w:lang w:val="nl-NL"/>
        </w:rPr>
        <w:t>De laagst mogelijke dosis corticosteroïden moet worden gebruikt om de behandelde aandoening onder controle te brengen. Zodra mogelijk moet de dosis progressief verlaagd worden.</w:t>
      </w:r>
    </w:p>
    <w:p w14:paraId="3E47C292" w14:textId="77777777" w:rsidR="004F2AD8" w:rsidRPr="00996C1F" w:rsidRDefault="004F2AD8">
      <w:pPr>
        <w:tabs>
          <w:tab w:val="left" w:pos="1276"/>
        </w:tabs>
        <w:ind w:left="681" w:hanging="227"/>
        <w:rPr>
          <w:lang w:val="nl-NL"/>
        </w:rPr>
      </w:pPr>
    </w:p>
    <w:p w14:paraId="62002E22" w14:textId="77777777" w:rsidR="004F2AD8" w:rsidRPr="00996C1F" w:rsidRDefault="004F2AD8">
      <w:pPr>
        <w:ind w:left="681"/>
        <w:rPr>
          <w:i/>
          <w:lang w:val="nl-NL"/>
        </w:rPr>
      </w:pPr>
      <w:r w:rsidRPr="00996C1F">
        <w:rPr>
          <w:i/>
          <w:lang w:val="nl-NL"/>
        </w:rPr>
        <w:lastRenderedPageBreak/>
        <w:t>Intra-articulair:</w:t>
      </w:r>
    </w:p>
    <w:p w14:paraId="3BF6B90D" w14:textId="77777777" w:rsidR="004F2AD8" w:rsidRPr="00996C1F" w:rsidRDefault="004F2AD8">
      <w:pPr>
        <w:ind w:left="681"/>
        <w:rPr>
          <w:lang w:val="nl-NL"/>
        </w:rPr>
      </w:pPr>
      <w:r w:rsidRPr="00996C1F">
        <w:rPr>
          <w:lang w:val="nl-NL"/>
        </w:rPr>
        <w:t>0,25 tot 0,5 ml (2,5 tot 5 mg) voor kleine gewrichten en 0,5 tot 1,5 ml (5 tot 15 mg) voor grotere gewrichten.</w:t>
      </w:r>
    </w:p>
    <w:p w14:paraId="0325F461" w14:textId="77777777" w:rsidR="004F2AD8" w:rsidRPr="00996C1F" w:rsidRDefault="004F2AD8">
      <w:pPr>
        <w:ind w:left="681"/>
        <w:rPr>
          <w:lang w:val="nl-NL"/>
        </w:rPr>
      </w:pPr>
    </w:p>
    <w:p w14:paraId="621CD9BE" w14:textId="77777777" w:rsidR="004F2AD8" w:rsidRPr="00996C1F" w:rsidRDefault="004F2AD8">
      <w:pPr>
        <w:ind w:left="681"/>
        <w:rPr>
          <w:i/>
          <w:lang w:val="nl-NL"/>
        </w:rPr>
      </w:pPr>
      <w:r w:rsidRPr="00996C1F">
        <w:rPr>
          <w:i/>
          <w:lang w:val="nl-NL"/>
        </w:rPr>
        <w:t>Intradermaal :</w:t>
      </w:r>
    </w:p>
    <w:p w14:paraId="07DA4A30" w14:textId="77777777" w:rsidR="004F2AD8" w:rsidRPr="00996C1F" w:rsidRDefault="004F2AD8">
      <w:pPr>
        <w:ind w:left="681"/>
        <w:rPr>
          <w:lang w:val="nl-NL"/>
        </w:rPr>
      </w:pPr>
      <w:r w:rsidRPr="00996C1F">
        <w:rPr>
          <w:lang w:val="nl-NL"/>
        </w:rPr>
        <w:t>De aanvangsdosis van triamcinolone verschilt naargelang de aandoening maar mag niet meer dan 1,0 mg (0,1 ml) per inspuitingplaats bedragen vanwege het risico op huidatrofie in geval van gebruik van grotere hoeveelheden.</w:t>
      </w:r>
    </w:p>
    <w:p w14:paraId="5C5CB6BA" w14:textId="77777777" w:rsidR="004F2AD8" w:rsidRPr="00996C1F" w:rsidRDefault="004F2AD8">
      <w:pPr>
        <w:ind w:left="681"/>
        <w:rPr>
          <w:lang w:val="nl-NL"/>
        </w:rPr>
      </w:pPr>
      <w:r w:rsidRPr="00996C1F">
        <w:rPr>
          <w:lang w:val="nl-NL"/>
        </w:rPr>
        <w:t>Er mag op meerdere plaatsen ingespoten worden (met een afstand van minstens 1 cm) zonder uit het oog te verliezen dat, hoe groter de gebruikte hoeveelheid, des te hoger het risico is dat de systemisch geresorbeerde hoeveelheid ongewenste effecten teweegbrengt.</w:t>
      </w:r>
    </w:p>
    <w:p w14:paraId="6BDAEC9D" w14:textId="77777777" w:rsidR="004F2AD8" w:rsidRPr="00996C1F" w:rsidRDefault="004F2AD8">
      <w:pPr>
        <w:ind w:left="681"/>
        <w:rPr>
          <w:lang w:val="nl-NL"/>
        </w:rPr>
      </w:pPr>
      <w:r w:rsidRPr="00996C1F">
        <w:rPr>
          <w:lang w:val="nl-NL"/>
        </w:rPr>
        <w:t>De in het begin van de behandeling gebruikte lage dosissen kunnen toereikend zijn.</w:t>
      </w:r>
    </w:p>
    <w:p w14:paraId="48B42438" w14:textId="77777777" w:rsidR="004F2AD8" w:rsidRPr="00996C1F" w:rsidRDefault="004F2AD8">
      <w:pPr>
        <w:ind w:left="681"/>
        <w:rPr>
          <w:lang w:val="nl-NL"/>
        </w:rPr>
      </w:pPr>
    </w:p>
    <w:p w14:paraId="41DE4273" w14:textId="77777777" w:rsidR="004F2AD8" w:rsidRPr="00996C1F" w:rsidRDefault="004F2AD8">
      <w:pPr>
        <w:ind w:left="681"/>
        <w:rPr>
          <w:lang w:val="nl-NL"/>
        </w:rPr>
      </w:pPr>
      <w:r w:rsidRPr="00996C1F">
        <w:rPr>
          <w:lang w:val="nl-NL"/>
        </w:rPr>
        <w:t>Er dient benadrukt te worden dat de vereiste hoeveelheden Kenacort-A 10 mg/ml wisselend zijn en moeten worden aangepast in functie van de aandoening en de respons van de patiënt.</w:t>
      </w:r>
    </w:p>
    <w:p w14:paraId="06A801E9" w14:textId="77777777" w:rsidR="004F2AD8" w:rsidRPr="00996C1F" w:rsidRDefault="004F2AD8">
      <w:pPr>
        <w:ind w:left="681"/>
        <w:rPr>
          <w:rFonts w:ascii="Univers" w:hAnsi="Univers"/>
          <w:lang w:val="nl-NL"/>
        </w:rPr>
      </w:pPr>
      <w:r w:rsidRPr="00996C1F">
        <w:rPr>
          <w:lang w:val="nl-NL"/>
        </w:rPr>
        <w:t>Een langdurige behandeling moet geleidelijk afgebouwd worden.</w:t>
      </w:r>
    </w:p>
    <w:p w14:paraId="765DE9BC" w14:textId="77777777" w:rsidR="000013FB" w:rsidRPr="00436435" w:rsidRDefault="000013FB" w:rsidP="000013FB">
      <w:pPr>
        <w:ind w:left="454" w:firstLine="227"/>
        <w:rPr>
          <w:i/>
          <w:noProof/>
          <w:szCs w:val="22"/>
          <w:lang w:val="nl-BE"/>
        </w:rPr>
      </w:pPr>
    </w:p>
    <w:p w14:paraId="0BDCC3F1" w14:textId="77777777" w:rsidR="000013FB" w:rsidRPr="00436435" w:rsidRDefault="00DB6141" w:rsidP="000013FB">
      <w:pPr>
        <w:ind w:left="454" w:firstLine="227"/>
        <w:rPr>
          <w:i/>
          <w:noProof/>
          <w:szCs w:val="22"/>
          <w:lang w:val="nl-BE"/>
        </w:rPr>
      </w:pPr>
      <w:r w:rsidRPr="00436435">
        <w:rPr>
          <w:bCs/>
          <w:i/>
          <w:iCs/>
          <w:szCs w:val="22"/>
          <w:lang w:val="nl-BE"/>
        </w:rPr>
        <w:t>Pediatrische patiënten</w:t>
      </w:r>
    </w:p>
    <w:p w14:paraId="2F55A4BB" w14:textId="77777777" w:rsidR="000013FB" w:rsidRPr="00436435" w:rsidRDefault="000013FB" w:rsidP="000013FB">
      <w:pPr>
        <w:pStyle w:val="Header"/>
        <w:tabs>
          <w:tab w:val="clear" w:pos="9072"/>
        </w:tabs>
        <w:ind w:left="454" w:firstLine="227"/>
        <w:rPr>
          <w:lang w:val="nl-BE"/>
        </w:rPr>
      </w:pPr>
    </w:p>
    <w:p w14:paraId="039D6BE9" w14:textId="77777777" w:rsidR="000013FB" w:rsidRPr="00996C1F" w:rsidRDefault="00982AAB" w:rsidP="000013FB">
      <w:pPr>
        <w:ind w:left="681"/>
        <w:rPr>
          <w:lang w:val="nl-NL"/>
        </w:rPr>
      </w:pPr>
      <w:r w:rsidRPr="00996C1F">
        <w:rPr>
          <w:lang w:val="nl-NL"/>
        </w:rPr>
        <w:t xml:space="preserve">De ontwikkeling en de groei van </w:t>
      </w:r>
      <w:r w:rsidRPr="00996C1F">
        <w:rPr>
          <w:u w:val="single"/>
          <w:lang w:val="nl-NL"/>
        </w:rPr>
        <w:t>kinderen</w:t>
      </w:r>
      <w:r w:rsidRPr="00996C1F">
        <w:rPr>
          <w:lang w:val="nl-NL"/>
        </w:rPr>
        <w:t xml:space="preserve"> die een langdurige behandeling met corticosteroïden volgen, moeten nauwlettend gevolgd worden. </w:t>
      </w:r>
      <w:r w:rsidR="00F5314E" w:rsidRPr="00996C1F">
        <w:rPr>
          <w:lang w:val="nl-NL"/>
        </w:rPr>
        <w:t>Om deze reden wordt dit medicijn niet aanbevolen voor kinderen onder de 6 jaar.</w:t>
      </w:r>
    </w:p>
    <w:p w14:paraId="4941722E" w14:textId="77777777" w:rsidR="000013FB" w:rsidRPr="00996C1F" w:rsidRDefault="000013FB" w:rsidP="000013FB">
      <w:pPr>
        <w:pStyle w:val="Header"/>
        <w:tabs>
          <w:tab w:val="clear" w:pos="9072"/>
        </w:tabs>
        <w:ind w:left="454" w:firstLine="227"/>
        <w:rPr>
          <w:lang w:val="nl-NL"/>
        </w:rPr>
      </w:pPr>
    </w:p>
    <w:p w14:paraId="6EC632D0" w14:textId="77777777" w:rsidR="000013FB" w:rsidRPr="00436435" w:rsidRDefault="00DB6141" w:rsidP="000013FB">
      <w:pPr>
        <w:ind w:left="454" w:firstLine="227"/>
        <w:rPr>
          <w:bCs/>
          <w:i/>
          <w:noProof/>
          <w:szCs w:val="22"/>
          <w:lang w:val="nl-BE"/>
        </w:rPr>
      </w:pPr>
      <w:r w:rsidRPr="00436435">
        <w:rPr>
          <w:bCs/>
          <w:i/>
          <w:noProof/>
          <w:szCs w:val="22"/>
          <w:lang w:val="nl-BE"/>
        </w:rPr>
        <w:t>Ouderen</w:t>
      </w:r>
    </w:p>
    <w:p w14:paraId="4498492D" w14:textId="77777777" w:rsidR="000013FB" w:rsidRPr="00436435" w:rsidRDefault="000013FB" w:rsidP="000013FB">
      <w:pPr>
        <w:ind w:left="454" w:firstLine="227"/>
        <w:rPr>
          <w:i/>
          <w:noProof/>
          <w:szCs w:val="22"/>
          <w:lang w:val="nl-BE"/>
        </w:rPr>
      </w:pPr>
    </w:p>
    <w:p w14:paraId="213C27AE" w14:textId="77777777" w:rsidR="000013FB" w:rsidRPr="00996C1F" w:rsidRDefault="009A4798" w:rsidP="000013FB">
      <w:pPr>
        <w:pStyle w:val="Header"/>
        <w:tabs>
          <w:tab w:val="clear" w:pos="9072"/>
        </w:tabs>
        <w:ind w:left="681"/>
        <w:rPr>
          <w:lang w:val="nl-NL"/>
        </w:rPr>
      </w:pPr>
      <w:r w:rsidRPr="00996C1F">
        <w:rPr>
          <w:lang w:val="nl-NL"/>
        </w:rPr>
        <w:t>Aangezien de frequente negatieve bijwerkingen van systemische corticosteroïden meer ernstige gevolgen kunnen hebben bij ouderen wordt e</w:t>
      </w:r>
      <w:r w:rsidR="00A83E46" w:rsidRPr="00996C1F">
        <w:rPr>
          <w:lang w:val="nl-NL"/>
        </w:rPr>
        <w:t xml:space="preserve">en verhoogde klinische controle aanbevolen. </w:t>
      </w:r>
    </w:p>
    <w:p w14:paraId="1BCAFA02" w14:textId="77777777" w:rsidR="004F2AD8" w:rsidRPr="00996C1F" w:rsidRDefault="004F2AD8">
      <w:pPr>
        <w:pStyle w:val="Header"/>
        <w:tabs>
          <w:tab w:val="clear" w:pos="9072"/>
        </w:tabs>
        <w:ind w:left="454" w:firstLine="227"/>
        <w:rPr>
          <w:lang w:val="nl-NL"/>
        </w:rPr>
      </w:pPr>
    </w:p>
    <w:p w14:paraId="54E5D041" w14:textId="77777777" w:rsidR="004F2AD8" w:rsidRDefault="004F2AD8">
      <w:pPr>
        <w:pStyle w:val="Heading7"/>
        <w:jc w:val="left"/>
        <w:rPr>
          <w:u w:val="none"/>
          <w:lang w:val="nl-NL"/>
        </w:rPr>
      </w:pPr>
      <w:r w:rsidRPr="00017F88">
        <w:rPr>
          <w:lang w:val="nl-NL"/>
        </w:rPr>
        <w:t>Wijze van toediening</w:t>
      </w:r>
    </w:p>
    <w:p w14:paraId="0F7329EE" w14:textId="77777777" w:rsidR="00017F88" w:rsidRPr="00017F88" w:rsidRDefault="00017F88" w:rsidP="00017F88">
      <w:pPr>
        <w:rPr>
          <w:lang w:val="nl-NL"/>
        </w:rPr>
      </w:pPr>
    </w:p>
    <w:p w14:paraId="501C3A8B" w14:textId="77777777" w:rsidR="004F2AD8" w:rsidRPr="00996C1F" w:rsidRDefault="004F2AD8">
      <w:pPr>
        <w:ind w:left="681"/>
        <w:rPr>
          <w:lang w:val="nl-NL"/>
        </w:rPr>
      </w:pPr>
      <w:r w:rsidRPr="00996C1F">
        <w:rPr>
          <w:lang w:val="nl-NL"/>
        </w:rPr>
        <w:t>Aangezien het om een suspensie gaat, mag het product niet intraveneus worden toegediend.</w:t>
      </w:r>
    </w:p>
    <w:p w14:paraId="65FED158" w14:textId="77777777" w:rsidR="000013FB" w:rsidRDefault="00A83E46" w:rsidP="000013FB">
      <w:pPr>
        <w:ind w:left="681"/>
        <w:rPr>
          <w:lang w:val="nl-NL"/>
        </w:rPr>
      </w:pPr>
      <w:r w:rsidRPr="00996C1F">
        <w:rPr>
          <w:lang w:val="nl-NL"/>
        </w:rPr>
        <w:t>De formulering is niet geschikt voor intramusculaire of intra-oculaire toediening.</w:t>
      </w:r>
    </w:p>
    <w:p w14:paraId="7BB1F78E" w14:textId="77777777" w:rsidR="0096613E" w:rsidRDefault="0096613E" w:rsidP="000013FB">
      <w:pPr>
        <w:ind w:left="681"/>
        <w:rPr>
          <w:lang w:val="nl-NL"/>
        </w:rPr>
      </w:pPr>
    </w:p>
    <w:p w14:paraId="7572F393" w14:textId="77777777" w:rsidR="0096613E" w:rsidRPr="00996C1F" w:rsidRDefault="0096613E" w:rsidP="0096613E">
      <w:pPr>
        <w:ind w:left="681"/>
        <w:rPr>
          <w:lang w:val="nl-NL"/>
        </w:rPr>
      </w:pPr>
      <w:r w:rsidRPr="0096613E">
        <w:rPr>
          <w:lang w:val="nl-NL"/>
        </w:rPr>
        <w:t>Kenacort-A 10 mg/ml </w:t>
      </w:r>
      <w:r>
        <w:rPr>
          <w:lang w:val="nl-NL"/>
        </w:rPr>
        <w:t>suspensie is voor eenmalig gebruik en dient daarna we</w:t>
      </w:r>
      <w:r w:rsidR="001529D3">
        <w:rPr>
          <w:lang w:val="nl-NL"/>
        </w:rPr>
        <w:t>g</w:t>
      </w:r>
      <w:r>
        <w:rPr>
          <w:lang w:val="nl-NL"/>
        </w:rPr>
        <w:t>gegooid te worden.</w:t>
      </w:r>
    </w:p>
    <w:p w14:paraId="55F74B4F" w14:textId="77777777" w:rsidR="004F2AD8" w:rsidRPr="00996C1F" w:rsidRDefault="004F2AD8">
      <w:pPr>
        <w:ind w:left="681"/>
        <w:rPr>
          <w:lang w:val="nl-NL"/>
        </w:rPr>
      </w:pPr>
    </w:p>
    <w:p w14:paraId="0B10E7C0" w14:textId="77777777" w:rsidR="004F2AD8" w:rsidRPr="00996C1F" w:rsidRDefault="004F2AD8">
      <w:pPr>
        <w:ind w:left="681"/>
        <w:rPr>
          <w:lang w:val="nl-NL"/>
        </w:rPr>
      </w:pPr>
      <w:r w:rsidRPr="00996C1F">
        <w:rPr>
          <w:lang w:val="nl-NL"/>
        </w:rPr>
        <w:t>Het flesje vóór gebruik schudden om een homogene suspensie te bekomen. Niet gebruiken indien de suspensie klonters blijft bevatten (blootstelling aan diepvriestemperaturen).</w:t>
      </w:r>
    </w:p>
    <w:p w14:paraId="22976042" w14:textId="77777777" w:rsidR="004F2AD8" w:rsidRPr="00996C1F" w:rsidRDefault="004F2AD8">
      <w:pPr>
        <w:ind w:left="681"/>
        <w:rPr>
          <w:lang w:val="nl-NL"/>
        </w:rPr>
      </w:pPr>
      <w:r w:rsidRPr="00996C1F">
        <w:rPr>
          <w:lang w:val="nl-NL"/>
        </w:rPr>
        <w:t>Zo snel mogelijk inspuiten teneinde neerslag in de spuit te vermijden.</w:t>
      </w:r>
    </w:p>
    <w:p w14:paraId="24547D99" w14:textId="77777777" w:rsidR="004F2AD8" w:rsidRPr="00996C1F" w:rsidRDefault="004F2AD8">
      <w:pPr>
        <w:ind w:left="681"/>
        <w:rPr>
          <w:lang w:val="nl-NL"/>
        </w:rPr>
      </w:pPr>
      <w:r w:rsidRPr="00996C1F">
        <w:rPr>
          <w:lang w:val="nl-NL"/>
        </w:rPr>
        <w:t>De gebruikelijke voorzorgen nemen teneinde inspuiting in een bloedvat en/of besmetting te vermijden.</w:t>
      </w:r>
    </w:p>
    <w:p w14:paraId="58632435" w14:textId="77777777" w:rsidR="004F2AD8" w:rsidRPr="00996C1F" w:rsidRDefault="004F2AD8">
      <w:pPr>
        <w:ind w:left="681"/>
        <w:rPr>
          <w:lang w:val="nl-NL"/>
        </w:rPr>
      </w:pPr>
    </w:p>
    <w:p w14:paraId="6E70E5FC" w14:textId="77777777" w:rsidR="004F2AD8" w:rsidRPr="00996C1F" w:rsidRDefault="004F2AD8">
      <w:pPr>
        <w:ind w:left="681"/>
        <w:rPr>
          <w:i/>
          <w:lang w:val="nl-NL"/>
        </w:rPr>
      </w:pPr>
      <w:r w:rsidRPr="00996C1F">
        <w:rPr>
          <w:i/>
          <w:lang w:val="nl-NL"/>
        </w:rPr>
        <w:t>Gewrichten, slijmbeurzen en peesscheden</w:t>
      </w:r>
    </w:p>
    <w:p w14:paraId="7C33E17D" w14:textId="77777777" w:rsidR="004F2AD8" w:rsidRPr="00996C1F" w:rsidRDefault="004F2AD8">
      <w:pPr>
        <w:ind w:left="681"/>
        <w:rPr>
          <w:lang w:val="nl-NL"/>
        </w:rPr>
      </w:pPr>
      <w:r w:rsidRPr="00996C1F">
        <w:rPr>
          <w:lang w:val="nl-NL"/>
        </w:rPr>
        <w:t>Intra-articulaire toediening moet op strikt aseptische wijze gebeuren, volgens de klassieke methode.</w:t>
      </w:r>
    </w:p>
    <w:p w14:paraId="6D5E7CCE" w14:textId="77777777" w:rsidR="004F2AD8" w:rsidRPr="00996C1F" w:rsidRDefault="004F2AD8">
      <w:pPr>
        <w:ind w:left="681"/>
        <w:rPr>
          <w:lang w:val="nl-NL"/>
        </w:rPr>
      </w:pPr>
    </w:p>
    <w:p w14:paraId="5CE6E98A" w14:textId="77777777" w:rsidR="004F2AD8" w:rsidRPr="00996C1F" w:rsidRDefault="004F2AD8">
      <w:pPr>
        <w:ind w:left="681"/>
        <w:rPr>
          <w:lang w:val="nl-NL"/>
        </w:rPr>
      </w:pPr>
      <w:r w:rsidRPr="00996C1F">
        <w:rPr>
          <w:lang w:val="nl-NL"/>
        </w:rPr>
        <w:lastRenderedPageBreak/>
        <w:t>In geval van overmatig synoviaal vocht, een gedeelte ervan opzuigen teneinde de pijn te verlichten en overmatige verdunning van het product te vermijden.</w:t>
      </w:r>
    </w:p>
    <w:p w14:paraId="219A32F8" w14:textId="77777777" w:rsidR="004F2AD8" w:rsidRPr="00996C1F" w:rsidRDefault="004F2AD8">
      <w:pPr>
        <w:ind w:left="681"/>
        <w:rPr>
          <w:lang w:val="nl-NL"/>
        </w:rPr>
      </w:pPr>
    </w:p>
    <w:p w14:paraId="33A213C9" w14:textId="77777777" w:rsidR="004F2AD8" w:rsidRPr="00996C1F" w:rsidRDefault="004F2AD8">
      <w:pPr>
        <w:ind w:left="681"/>
        <w:rPr>
          <w:lang w:val="nl-NL"/>
        </w:rPr>
      </w:pPr>
      <w:r w:rsidRPr="00996C1F">
        <w:rPr>
          <w:lang w:val="nl-NL"/>
        </w:rPr>
        <w:t>Gebruik van een lokaal anaestheticum kan wenselijk zijn; de aanbevelingen inzake het gebruik ervan moeten nauwlettend gevolgd worden. De inspuiting moet in het omgevende weefsel gebeuren en in mindere mate binnenin het gewricht.</w:t>
      </w:r>
    </w:p>
    <w:p w14:paraId="6BDDC8A1" w14:textId="77777777" w:rsidR="004F2AD8" w:rsidRPr="00996C1F" w:rsidRDefault="004F2AD8">
      <w:pPr>
        <w:ind w:left="681"/>
        <w:rPr>
          <w:lang w:val="nl-NL"/>
        </w:rPr>
      </w:pPr>
    </w:p>
    <w:p w14:paraId="3666B4B0" w14:textId="77777777" w:rsidR="004F2AD8" w:rsidRPr="00996C1F" w:rsidRDefault="004F2AD8">
      <w:pPr>
        <w:ind w:left="681"/>
        <w:rPr>
          <w:lang w:val="nl-NL"/>
        </w:rPr>
      </w:pPr>
      <w:r w:rsidRPr="00996C1F">
        <w:rPr>
          <w:lang w:val="nl-NL"/>
        </w:rPr>
        <w:t>Bij de behandeling van niet-specifieke acute tenosynovitis moet in de schede ingespoten worden, en niet in de pees zelf.</w:t>
      </w:r>
    </w:p>
    <w:p w14:paraId="1D2E8281" w14:textId="77777777" w:rsidR="004F2AD8" w:rsidRPr="00996C1F" w:rsidRDefault="004F2AD8">
      <w:pPr>
        <w:ind w:left="681"/>
        <w:rPr>
          <w:lang w:val="nl-NL"/>
        </w:rPr>
      </w:pPr>
    </w:p>
    <w:p w14:paraId="1C515C0B" w14:textId="77777777" w:rsidR="004F2AD8" w:rsidRPr="00996C1F" w:rsidRDefault="004F2AD8">
      <w:pPr>
        <w:ind w:left="681"/>
        <w:rPr>
          <w:lang w:val="nl-NL"/>
        </w:rPr>
      </w:pPr>
      <w:r w:rsidRPr="00996C1F">
        <w:rPr>
          <w:lang w:val="nl-NL"/>
        </w:rPr>
        <w:t>Epicondylitis (tenniselleboog) kan behandeld worden door infiltratie in het gebied waar het oedeem het omvangrijkst is.</w:t>
      </w:r>
    </w:p>
    <w:p w14:paraId="7844C8EA" w14:textId="77777777" w:rsidR="004F2AD8" w:rsidRPr="00996C1F" w:rsidRDefault="004F2AD8">
      <w:pPr>
        <w:ind w:left="681"/>
        <w:rPr>
          <w:lang w:val="nl-NL"/>
        </w:rPr>
      </w:pPr>
    </w:p>
    <w:p w14:paraId="01DCBEAF" w14:textId="77777777" w:rsidR="004F2AD8" w:rsidRPr="00996C1F" w:rsidRDefault="004F2AD8">
      <w:pPr>
        <w:ind w:left="681"/>
        <w:rPr>
          <w:lang w:val="nl-NL"/>
        </w:rPr>
      </w:pPr>
      <w:r w:rsidRPr="00996C1F">
        <w:rPr>
          <w:lang w:val="nl-NL"/>
        </w:rPr>
        <w:t>Dezelfde voorzorgen als die te nemen bij intra-articulaire toediening van andere corticosteroïden zijn van toepassing.</w:t>
      </w:r>
    </w:p>
    <w:p w14:paraId="0C8BF4DA" w14:textId="77777777" w:rsidR="004F2AD8" w:rsidRPr="00996C1F" w:rsidRDefault="004F2AD8">
      <w:pPr>
        <w:ind w:left="681"/>
        <w:rPr>
          <w:lang w:val="nl-NL"/>
        </w:rPr>
      </w:pPr>
    </w:p>
    <w:p w14:paraId="703D084A" w14:textId="77777777" w:rsidR="004F2AD8" w:rsidRPr="00996C1F" w:rsidRDefault="004F2AD8">
      <w:pPr>
        <w:ind w:left="681"/>
        <w:rPr>
          <w:lang w:val="nl-NL"/>
        </w:rPr>
      </w:pPr>
      <w:r w:rsidRPr="00996C1F">
        <w:rPr>
          <w:i/>
          <w:lang w:val="nl-NL"/>
        </w:rPr>
        <w:t xml:space="preserve">De behandeling van huidletsels </w:t>
      </w:r>
      <w:r w:rsidRPr="00996C1F">
        <w:rPr>
          <w:lang w:val="nl-NL"/>
        </w:rPr>
        <w:t>gebeurt door rechtstreeks in het letsel in te spuiten, dit wil zeggen intradermaal of soms subcutaan.</w:t>
      </w:r>
    </w:p>
    <w:p w14:paraId="7073FF73" w14:textId="77777777" w:rsidR="004F2AD8" w:rsidRPr="00996C1F" w:rsidRDefault="004F2AD8">
      <w:pPr>
        <w:ind w:left="681"/>
        <w:rPr>
          <w:lang w:val="nl-NL"/>
        </w:rPr>
      </w:pPr>
    </w:p>
    <w:p w14:paraId="2D1BC428" w14:textId="77777777" w:rsidR="004F2AD8" w:rsidRPr="00996C1F" w:rsidRDefault="004F2AD8">
      <w:pPr>
        <w:ind w:left="681"/>
        <w:rPr>
          <w:lang w:val="nl-NL"/>
        </w:rPr>
      </w:pPr>
      <w:r w:rsidRPr="00996C1F">
        <w:rPr>
          <w:lang w:val="nl-NL"/>
        </w:rPr>
        <w:t>Om de dosis zo precies mogelijk te bepalen en de toediening te vergemakkelijken, moeten bij voorkeur een tuberculinespuit en een dunne naald gebruikt worden.</w:t>
      </w:r>
    </w:p>
    <w:p w14:paraId="1D41033B" w14:textId="77777777" w:rsidR="004F2AD8" w:rsidRPr="00996C1F" w:rsidRDefault="004F2AD8">
      <w:pPr>
        <w:tabs>
          <w:tab w:val="left" w:pos="600"/>
          <w:tab w:val="left" w:pos="1200"/>
          <w:tab w:val="left" w:pos="1800"/>
          <w:tab w:val="left" w:pos="2400"/>
          <w:tab w:val="left" w:pos="3000"/>
          <w:tab w:val="left" w:pos="3600"/>
          <w:tab w:val="left" w:pos="4200"/>
          <w:tab w:val="left" w:pos="4320"/>
          <w:tab w:val="left" w:pos="4800"/>
          <w:tab w:val="left" w:pos="5400"/>
          <w:tab w:val="left" w:pos="6000"/>
          <w:tab w:val="left" w:pos="6600"/>
          <w:tab w:val="left" w:pos="7200"/>
          <w:tab w:val="left" w:pos="7800"/>
          <w:tab w:val="left" w:pos="8400"/>
        </w:tabs>
        <w:ind w:left="681"/>
        <w:rPr>
          <w:lang w:val="nl-NL"/>
        </w:rPr>
      </w:pPr>
    </w:p>
    <w:p w14:paraId="6225B9F6" w14:textId="77777777" w:rsidR="004F2AD8" w:rsidRPr="00996C1F" w:rsidRDefault="004F2AD8">
      <w:pPr>
        <w:tabs>
          <w:tab w:val="left" w:pos="600"/>
          <w:tab w:val="left" w:pos="1200"/>
          <w:tab w:val="left" w:pos="1800"/>
          <w:tab w:val="left" w:pos="2400"/>
          <w:tab w:val="left" w:pos="3000"/>
          <w:tab w:val="left" w:pos="3600"/>
          <w:tab w:val="left" w:pos="4200"/>
          <w:tab w:val="left" w:pos="4320"/>
          <w:tab w:val="left" w:pos="4800"/>
          <w:tab w:val="left" w:pos="5400"/>
          <w:tab w:val="left" w:pos="6000"/>
          <w:tab w:val="left" w:pos="6600"/>
          <w:tab w:val="left" w:pos="7200"/>
          <w:tab w:val="left" w:pos="7800"/>
          <w:tab w:val="left" w:pos="8400"/>
        </w:tabs>
        <w:ind w:left="681"/>
        <w:rPr>
          <w:lang w:val="nl-NL"/>
        </w:rPr>
      </w:pPr>
    </w:p>
    <w:p w14:paraId="5C5BEFCD" w14:textId="77777777" w:rsidR="004F2AD8" w:rsidRPr="00017F88" w:rsidRDefault="004F2AD8">
      <w:pPr>
        <w:pStyle w:val="Heading3"/>
        <w:rPr>
          <w:b/>
          <w:u w:val="none"/>
          <w:lang w:val="nl-NL"/>
        </w:rPr>
      </w:pPr>
      <w:r w:rsidRPr="00017F88">
        <w:rPr>
          <w:b/>
          <w:u w:val="none"/>
          <w:lang w:val="nl-NL"/>
        </w:rPr>
        <w:t>4.3</w:t>
      </w:r>
      <w:r w:rsidRPr="00017F88">
        <w:rPr>
          <w:b/>
          <w:u w:val="none"/>
          <w:lang w:val="nl-NL"/>
        </w:rPr>
        <w:tab/>
        <w:t>Contra-indicaties</w:t>
      </w:r>
    </w:p>
    <w:p w14:paraId="4E0B78B8" w14:textId="77777777" w:rsidR="004F2AD8" w:rsidRPr="00996C1F" w:rsidRDefault="004F2AD8">
      <w:pPr>
        <w:ind w:left="681"/>
        <w:rPr>
          <w:lang w:val="nl-NL"/>
        </w:rPr>
      </w:pPr>
    </w:p>
    <w:p w14:paraId="2922FE3E" w14:textId="77777777" w:rsidR="00144EA4" w:rsidRPr="00144EA4" w:rsidRDefault="00144EA4">
      <w:pPr>
        <w:numPr>
          <w:ilvl w:val="0"/>
          <w:numId w:val="3"/>
        </w:numPr>
        <w:ind w:left="1041"/>
        <w:jc w:val="both"/>
        <w:rPr>
          <w:lang w:val="nl-NL"/>
        </w:rPr>
      </w:pPr>
      <w:r w:rsidRPr="002957EB">
        <w:rPr>
          <w:lang w:val="nl-BE"/>
        </w:rPr>
        <w:t>Overgevoeligheid voor de werkzame stof of voor een van de in rubriek 6.1 vermelde hulpstof(fen)</w:t>
      </w:r>
    </w:p>
    <w:p w14:paraId="3E804A5E" w14:textId="77777777" w:rsidR="004F2AD8" w:rsidRPr="00996C1F" w:rsidRDefault="004F2AD8">
      <w:pPr>
        <w:numPr>
          <w:ilvl w:val="0"/>
          <w:numId w:val="3"/>
        </w:numPr>
        <w:ind w:left="1041"/>
        <w:jc w:val="both"/>
        <w:rPr>
          <w:lang w:val="nl-NL"/>
        </w:rPr>
      </w:pPr>
      <w:r w:rsidRPr="00996C1F">
        <w:rPr>
          <w:lang w:val="nl-NL"/>
        </w:rPr>
        <w:t>Articulaire of periarticulaire infectie</w:t>
      </w:r>
    </w:p>
    <w:p w14:paraId="5AB1DAAE" w14:textId="77777777" w:rsidR="004F2AD8" w:rsidRPr="00996C1F" w:rsidRDefault="004F2AD8">
      <w:pPr>
        <w:numPr>
          <w:ilvl w:val="0"/>
          <w:numId w:val="3"/>
        </w:numPr>
        <w:ind w:left="1041"/>
        <w:jc w:val="both"/>
        <w:rPr>
          <w:lang w:val="nl-NL"/>
        </w:rPr>
      </w:pPr>
      <w:r w:rsidRPr="00996C1F">
        <w:rPr>
          <w:lang w:val="nl-NL"/>
        </w:rPr>
        <w:t>Plaatselijke huidinfectie</w:t>
      </w:r>
    </w:p>
    <w:p w14:paraId="741F1994" w14:textId="77777777" w:rsidR="004F2AD8" w:rsidRPr="00996C1F" w:rsidRDefault="004F2AD8">
      <w:pPr>
        <w:numPr>
          <w:ilvl w:val="0"/>
          <w:numId w:val="3"/>
        </w:numPr>
        <w:ind w:left="1041"/>
        <w:jc w:val="both"/>
        <w:rPr>
          <w:lang w:val="nl-NL"/>
        </w:rPr>
      </w:pPr>
      <w:r w:rsidRPr="00996C1F">
        <w:rPr>
          <w:lang w:val="nl-NL"/>
        </w:rPr>
        <w:t>Systemische infecties en schimmelinfecties</w:t>
      </w:r>
    </w:p>
    <w:p w14:paraId="75CF5522" w14:textId="5A98477C" w:rsidR="0016787A" w:rsidRPr="0016787A" w:rsidRDefault="00144EA4" w:rsidP="00EE4058">
      <w:pPr>
        <w:pStyle w:val="ListParagraph"/>
        <w:numPr>
          <w:ilvl w:val="0"/>
          <w:numId w:val="28"/>
        </w:numPr>
        <w:jc w:val="both"/>
        <w:rPr>
          <w:lang w:val="nl-NL"/>
        </w:rPr>
      </w:pPr>
      <w:r w:rsidRPr="0016787A">
        <w:rPr>
          <w:lang w:val="nl-NL"/>
        </w:rPr>
        <w:t>Borstvoeding</w:t>
      </w:r>
    </w:p>
    <w:p w14:paraId="2E01FFED" w14:textId="1F4D2E70" w:rsidR="00144EA4" w:rsidRPr="0016787A" w:rsidRDefault="00144EA4" w:rsidP="00EE4058">
      <w:pPr>
        <w:pStyle w:val="ListParagraph"/>
        <w:numPr>
          <w:ilvl w:val="0"/>
          <w:numId w:val="28"/>
        </w:numPr>
        <w:jc w:val="both"/>
        <w:rPr>
          <w:lang w:val="nl-NL"/>
        </w:rPr>
      </w:pPr>
      <w:r w:rsidRPr="0016787A">
        <w:rPr>
          <w:lang w:val="nl-NL"/>
        </w:rPr>
        <w:t>Kenacort-A 10 mg/ml dient niet langdurig systemisch te worden toegediend na spoedbehandeling bij aanwezigheid van de volgende ziektebeelden : psychiatrische geschiedenis, herpes simplex en herpes zoster, met name van het hoornvlies, varicella en recente complicaties na vaccinatie (vooral kinderen onder behandeling met glucocorticoïden dienen beschermd te worden van het gevaar van infectie door varicella en herpes), ongeveer 8 weken voor tot 2 weken na preventieve vaccinatie, amoebische infecties, systemische schimmelinfecties, maagzweer, polio met uitzondering van bulbaire encefalitische vorm, lymfoom na BCG-vaccin, osteoporose, open- en gesloten-hoek glaucoom</w:t>
      </w:r>
      <w:r w:rsidR="00C026F1">
        <w:rPr>
          <w:lang w:val="nl-NL"/>
        </w:rPr>
        <w:t>.</w:t>
      </w:r>
    </w:p>
    <w:p w14:paraId="1DC3E344" w14:textId="77777777" w:rsidR="009A4798" w:rsidRPr="00996C1F" w:rsidRDefault="009A4798" w:rsidP="00144EA4">
      <w:pPr>
        <w:ind w:left="814"/>
        <w:rPr>
          <w:lang w:val="nl-NL"/>
        </w:rPr>
      </w:pPr>
    </w:p>
    <w:p w14:paraId="7EF27C12" w14:textId="77777777" w:rsidR="004F2AD8" w:rsidRPr="00996C1F" w:rsidRDefault="004F2AD8">
      <w:pPr>
        <w:ind w:left="681"/>
        <w:rPr>
          <w:lang w:val="nl-NL"/>
        </w:rPr>
      </w:pPr>
    </w:p>
    <w:p w14:paraId="378EAC9C" w14:textId="77777777" w:rsidR="004F2AD8" w:rsidRPr="00017F88" w:rsidRDefault="004F2AD8">
      <w:pPr>
        <w:pStyle w:val="Heading3"/>
        <w:rPr>
          <w:b/>
          <w:u w:val="none"/>
          <w:lang w:val="nl-NL"/>
        </w:rPr>
      </w:pPr>
      <w:r w:rsidRPr="00017F88">
        <w:rPr>
          <w:b/>
          <w:u w:val="none"/>
          <w:lang w:val="nl-NL"/>
        </w:rPr>
        <w:t>4.4</w:t>
      </w:r>
      <w:r w:rsidRPr="00017F88">
        <w:rPr>
          <w:b/>
          <w:u w:val="none"/>
          <w:lang w:val="nl-NL"/>
        </w:rPr>
        <w:tab/>
        <w:t>Bijzondere waarschuwingen en voorzorgen bij gebruik</w:t>
      </w:r>
    </w:p>
    <w:p w14:paraId="7780B010" w14:textId="77777777" w:rsidR="004F2AD8" w:rsidRPr="00996C1F" w:rsidRDefault="004F2AD8">
      <w:pPr>
        <w:ind w:left="681"/>
        <w:rPr>
          <w:lang w:val="nl-NL"/>
        </w:rPr>
      </w:pPr>
    </w:p>
    <w:p w14:paraId="1EEF5C63" w14:textId="77777777" w:rsidR="004F2AD8" w:rsidRPr="00996C1F" w:rsidRDefault="004F2AD8">
      <w:pPr>
        <w:ind w:left="681"/>
        <w:rPr>
          <w:u w:val="single"/>
          <w:lang w:val="nl-NL"/>
        </w:rPr>
      </w:pPr>
      <w:r w:rsidRPr="00996C1F">
        <w:rPr>
          <w:u w:val="single"/>
          <w:lang w:val="nl-NL"/>
        </w:rPr>
        <w:t>Bijzondere voorzorgen</w:t>
      </w:r>
    </w:p>
    <w:p w14:paraId="5FB7FE21" w14:textId="77777777" w:rsidR="004F2AD8" w:rsidRPr="00996C1F" w:rsidRDefault="004F2AD8">
      <w:pPr>
        <w:ind w:left="681"/>
        <w:rPr>
          <w:lang w:val="nl-NL"/>
        </w:rPr>
      </w:pPr>
    </w:p>
    <w:p w14:paraId="309D32B9" w14:textId="3C8C8744" w:rsidR="004F2AD8" w:rsidRPr="00996C1F" w:rsidRDefault="004F2AD8">
      <w:pPr>
        <w:numPr>
          <w:ilvl w:val="0"/>
          <w:numId w:val="11"/>
        </w:numPr>
        <w:ind w:left="900" w:hanging="219"/>
        <w:rPr>
          <w:lang w:val="nl-NL"/>
        </w:rPr>
      </w:pPr>
      <w:r w:rsidRPr="00996C1F">
        <w:rPr>
          <w:lang w:val="nl-NL"/>
        </w:rPr>
        <w:t xml:space="preserve">Corticosteroïden moeten met de nodige voorzorgen gebruikt worden bij patiënten met niet-specifieke </w:t>
      </w:r>
      <w:r w:rsidRPr="00996C1F">
        <w:rPr>
          <w:u w:val="single"/>
          <w:lang w:val="nl-NL"/>
        </w:rPr>
        <w:t>colitis ulcerosa</w:t>
      </w:r>
      <w:r w:rsidRPr="00996C1F">
        <w:rPr>
          <w:lang w:val="nl-NL"/>
        </w:rPr>
        <w:t xml:space="preserve"> indien het risico bestaat op een dreigende perforatie, abces of een andere pyogene infectie.</w:t>
      </w:r>
      <w:r w:rsidRPr="00996C1F">
        <w:rPr>
          <w:lang w:val="nl-NL"/>
        </w:rPr>
        <w:br/>
        <w:t xml:space="preserve">Corticosteroïden moeten eveneens met de nodige voorzorgen toegediend worden aan patiënten met </w:t>
      </w:r>
      <w:r w:rsidRPr="00996C1F">
        <w:rPr>
          <w:u w:val="single"/>
          <w:lang w:val="nl-NL"/>
        </w:rPr>
        <w:t>diverticulitis</w:t>
      </w:r>
      <w:r w:rsidRPr="00996C1F">
        <w:rPr>
          <w:lang w:val="nl-NL"/>
        </w:rPr>
        <w:t xml:space="preserve">, recente </w:t>
      </w:r>
      <w:r w:rsidRPr="00996C1F">
        <w:rPr>
          <w:u w:val="single"/>
          <w:lang w:val="nl-NL"/>
        </w:rPr>
        <w:t>entero-anastomose</w:t>
      </w:r>
      <w:r w:rsidRPr="00996C1F">
        <w:rPr>
          <w:lang w:val="nl-NL"/>
        </w:rPr>
        <w:t xml:space="preserve">, actief of latent </w:t>
      </w:r>
      <w:r w:rsidRPr="00996C1F">
        <w:rPr>
          <w:u w:val="single"/>
          <w:lang w:val="nl-NL"/>
        </w:rPr>
        <w:lastRenderedPageBreak/>
        <w:t>gastroduodenaal ulcus</w:t>
      </w:r>
      <w:r w:rsidRPr="00996C1F">
        <w:rPr>
          <w:lang w:val="nl-NL"/>
        </w:rPr>
        <w:t xml:space="preserve">, </w:t>
      </w:r>
      <w:r w:rsidRPr="00996C1F">
        <w:rPr>
          <w:u w:val="single"/>
          <w:lang w:val="nl-NL"/>
        </w:rPr>
        <w:t>nierinsufficiëntie</w:t>
      </w:r>
      <w:r w:rsidRPr="00996C1F">
        <w:rPr>
          <w:lang w:val="nl-NL"/>
        </w:rPr>
        <w:t xml:space="preserve">, </w:t>
      </w:r>
      <w:r w:rsidRPr="00996C1F">
        <w:rPr>
          <w:u w:val="single"/>
          <w:lang w:val="nl-NL"/>
        </w:rPr>
        <w:t>hypertensie</w:t>
      </w:r>
      <w:r w:rsidRPr="00996C1F">
        <w:rPr>
          <w:lang w:val="nl-NL"/>
        </w:rPr>
        <w:t xml:space="preserve">, </w:t>
      </w:r>
      <w:r w:rsidRPr="00996C1F">
        <w:rPr>
          <w:u w:val="single"/>
          <w:lang w:val="nl-NL"/>
        </w:rPr>
        <w:t>osteoporose</w:t>
      </w:r>
      <w:r w:rsidRPr="00996C1F">
        <w:rPr>
          <w:lang w:val="nl-NL"/>
        </w:rPr>
        <w:t xml:space="preserve">, </w:t>
      </w:r>
      <w:r w:rsidRPr="00996C1F">
        <w:rPr>
          <w:u w:val="single"/>
          <w:lang w:val="nl-NL"/>
        </w:rPr>
        <w:t>acute glomerulonefritis</w:t>
      </w:r>
      <w:r w:rsidRPr="00996C1F">
        <w:rPr>
          <w:lang w:val="nl-NL"/>
        </w:rPr>
        <w:t xml:space="preserve">, </w:t>
      </w:r>
      <w:r w:rsidRPr="00996C1F">
        <w:rPr>
          <w:u w:val="single"/>
          <w:lang w:val="nl-NL"/>
        </w:rPr>
        <w:t>waterpokken</w:t>
      </w:r>
      <w:r w:rsidRPr="00996C1F">
        <w:rPr>
          <w:lang w:val="nl-NL"/>
        </w:rPr>
        <w:t xml:space="preserve">, </w:t>
      </w:r>
      <w:r w:rsidRPr="00996C1F">
        <w:rPr>
          <w:u w:val="single"/>
          <w:lang w:val="nl-NL"/>
        </w:rPr>
        <w:t>koepokken</w:t>
      </w:r>
      <w:r w:rsidRPr="00996C1F">
        <w:rPr>
          <w:lang w:val="nl-NL"/>
        </w:rPr>
        <w:t xml:space="preserve">, </w:t>
      </w:r>
      <w:r w:rsidRPr="00996C1F">
        <w:rPr>
          <w:u w:val="single"/>
          <w:lang w:val="nl-NL"/>
        </w:rPr>
        <w:t>exantheem</w:t>
      </w:r>
      <w:r w:rsidRPr="00996C1F">
        <w:rPr>
          <w:lang w:val="nl-NL"/>
        </w:rPr>
        <w:t xml:space="preserve">, </w:t>
      </w:r>
      <w:r w:rsidRPr="00996C1F">
        <w:rPr>
          <w:u w:val="single"/>
          <w:lang w:val="nl-NL"/>
        </w:rPr>
        <w:t>Cushing-syndroom</w:t>
      </w:r>
      <w:r w:rsidRPr="00996C1F">
        <w:rPr>
          <w:lang w:val="nl-NL"/>
        </w:rPr>
        <w:t xml:space="preserve">, antibioticaresistente </w:t>
      </w:r>
      <w:r w:rsidRPr="00996C1F">
        <w:rPr>
          <w:u w:val="single"/>
          <w:lang w:val="nl-NL"/>
        </w:rPr>
        <w:t>infecties</w:t>
      </w:r>
      <w:r w:rsidRPr="00996C1F">
        <w:rPr>
          <w:lang w:val="nl-NL"/>
        </w:rPr>
        <w:t xml:space="preserve">, </w:t>
      </w:r>
      <w:r w:rsidRPr="00996C1F">
        <w:rPr>
          <w:u w:val="single"/>
          <w:lang w:val="nl-NL"/>
        </w:rPr>
        <w:t>diabetes</w:t>
      </w:r>
      <w:r w:rsidRPr="00996C1F">
        <w:rPr>
          <w:lang w:val="nl-NL"/>
        </w:rPr>
        <w:t xml:space="preserve">, </w:t>
      </w:r>
      <w:r w:rsidRPr="00996C1F">
        <w:rPr>
          <w:u w:val="single"/>
          <w:lang w:val="nl-NL"/>
        </w:rPr>
        <w:t>glaucoom</w:t>
      </w:r>
      <w:r w:rsidRPr="00996C1F">
        <w:rPr>
          <w:lang w:val="nl-NL"/>
        </w:rPr>
        <w:t xml:space="preserve">, </w:t>
      </w:r>
      <w:r w:rsidRPr="00996C1F">
        <w:rPr>
          <w:u w:val="single"/>
          <w:lang w:val="nl-NL"/>
        </w:rPr>
        <w:t>epilepsie</w:t>
      </w:r>
      <w:r w:rsidRPr="00996C1F">
        <w:rPr>
          <w:lang w:val="nl-NL"/>
        </w:rPr>
        <w:t xml:space="preserve">, </w:t>
      </w:r>
      <w:r w:rsidRPr="00996C1F">
        <w:rPr>
          <w:u w:val="single"/>
          <w:lang w:val="nl-NL"/>
        </w:rPr>
        <w:t>hartdecompensatie</w:t>
      </w:r>
      <w:r w:rsidRPr="00996C1F">
        <w:rPr>
          <w:lang w:val="nl-NL"/>
        </w:rPr>
        <w:t xml:space="preserve">, </w:t>
      </w:r>
      <w:r w:rsidRPr="00996C1F">
        <w:rPr>
          <w:u w:val="single"/>
          <w:lang w:val="nl-NL"/>
        </w:rPr>
        <w:t>chronische nefritis</w:t>
      </w:r>
      <w:r w:rsidRPr="00996C1F">
        <w:rPr>
          <w:lang w:val="nl-NL"/>
        </w:rPr>
        <w:t xml:space="preserve">, neiging tot </w:t>
      </w:r>
      <w:r w:rsidRPr="00996C1F">
        <w:rPr>
          <w:u w:val="single"/>
          <w:lang w:val="nl-NL"/>
        </w:rPr>
        <w:t>trombo-embolie</w:t>
      </w:r>
      <w:r w:rsidRPr="00996C1F">
        <w:rPr>
          <w:lang w:val="nl-NL"/>
        </w:rPr>
        <w:t xml:space="preserve">, </w:t>
      </w:r>
      <w:r w:rsidRPr="00996C1F">
        <w:rPr>
          <w:u w:val="single"/>
          <w:lang w:val="nl-NL"/>
        </w:rPr>
        <w:t>tromboflebitis</w:t>
      </w:r>
      <w:r w:rsidRPr="00996C1F">
        <w:rPr>
          <w:lang w:val="nl-NL"/>
        </w:rPr>
        <w:t xml:space="preserve">, </w:t>
      </w:r>
      <w:r w:rsidRPr="00996C1F">
        <w:rPr>
          <w:u w:val="single"/>
          <w:lang w:val="nl-NL"/>
        </w:rPr>
        <w:t>convulsieve ziekten</w:t>
      </w:r>
      <w:r w:rsidRPr="00996C1F">
        <w:rPr>
          <w:lang w:val="nl-NL"/>
        </w:rPr>
        <w:t>, gemetastaseerd c</w:t>
      </w:r>
      <w:r w:rsidRPr="00996C1F">
        <w:rPr>
          <w:u w:val="single"/>
          <w:lang w:val="nl-NL"/>
        </w:rPr>
        <w:t>arcinoom</w:t>
      </w:r>
      <w:r w:rsidRPr="00996C1F">
        <w:rPr>
          <w:lang w:val="nl-NL"/>
        </w:rPr>
        <w:t xml:space="preserve"> en </w:t>
      </w:r>
      <w:r w:rsidRPr="00996C1F">
        <w:rPr>
          <w:u w:val="single"/>
          <w:lang w:val="nl-NL"/>
        </w:rPr>
        <w:t>myasthenia</w:t>
      </w:r>
      <w:r w:rsidRPr="00996C1F">
        <w:rPr>
          <w:lang w:val="nl-NL"/>
        </w:rPr>
        <w:t xml:space="preserve"> </w:t>
      </w:r>
      <w:r w:rsidRPr="00996C1F">
        <w:rPr>
          <w:u w:val="single"/>
          <w:lang w:val="nl-NL"/>
        </w:rPr>
        <w:t>gravis</w:t>
      </w:r>
      <w:r w:rsidRPr="00996C1F">
        <w:rPr>
          <w:lang w:val="nl-NL"/>
        </w:rPr>
        <w:t>.</w:t>
      </w:r>
    </w:p>
    <w:p w14:paraId="19AFAAEB" w14:textId="77777777" w:rsidR="004F2AD8" w:rsidRPr="00996C1F" w:rsidRDefault="004F2AD8">
      <w:pPr>
        <w:ind w:left="900" w:hanging="219"/>
        <w:rPr>
          <w:lang w:val="nl-NL"/>
        </w:rPr>
      </w:pPr>
    </w:p>
    <w:p w14:paraId="033CA655" w14:textId="77777777" w:rsidR="004F2AD8" w:rsidRPr="00996C1F" w:rsidRDefault="004F2AD8">
      <w:pPr>
        <w:numPr>
          <w:ilvl w:val="0"/>
          <w:numId w:val="4"/>
        </w:numPr>
        <w:ind w:left="900" w:hanging="219"/>
        <w:rPr>
          <w:lang w:val="nl-NL"/>
        </w:rPr>
      </w:pPr>
      <w:r w:rsidRPr="00996C1F">
        <w:rPr>
          <w:lang w:val="nl-NL"/>
        </w:rPr>
        <w:t xml:space="preserve">Wanneer met corticosteroïden behandelde patiënten onderhevig zijn aan </w:t>
      </w:r>
      <w:r w:rsidRPr="00996C1F">
        <w:rPr>
          <w:u w:val="single"/>
          <w:lang w:val="nl-NL"/>
        </w:rPr>
        <w:t>ongewone stress</w:t>
      </w:r>
      <w:r w:rsidRPr="00996C1F">
        <w:rPr>
          <w:lang w:val="nl-NL"/>
        </w:rPr>
        <w:t xml:space="preserve">, is het aangewezen bijkomend een corticosteroïd met snel intredende werking toe te dienen vóór, tijdens en na de stresserende periode.  Aangezien Kenacort-A 10 mg/ml een product is met lange werkingsduur, is het in dit geval niet aangewezen. </w:t>
      </w:r>
    </w:p>
    <w:p w14:paraId="48C5BDC1" w14:textId="77777777" w:rsidR="004F2AD8" w:rsidRPr="00996C1F" w:rsidRDefault="004F2AD8">
      <w:pPr>
        <w:ind w:left="900" w:hanging="219"/>
        <w:rPr>
          <w:lang w:val="nl-NL"/>
        </w:rPr>
      </w:pPr>
    </w:p>
    <w:p w14:paraId="650D7BC4" w14:textId="77777777" w:rsidR="004F2AD8" w:rsidRPr="00996C1F" w:rsidRDefault="004F2AD8">
      <w:pPr>
        <w:numPr>
          <w:ilvl w:val="0"/>
          <w:numId w:val="7"/>
        </w:numPr>
        <w:ind w:left="900" w:hanging="219"/>
        <w:rPr>
          <w:lang w:val="nl-NL"/>
        </w:rPr>
      </w:pPr>
      <w:r w:rsidRPr="00996C1F">
        <w:rPr>
          <w:lang w:val="nl-NL"/>
        </w:rPr>
        <w:t xml:space="preserve">Het gebruik van triamcinolonacetonide bij patiënten met actieve </w:t>
      </w:r>
      <w:r w:rsidRPr="00996C1F">
        <w:rPr>
          <w:u w:val="single"/>
          <w:lang w:val="nl-NL"/>
        </w:rPr>
        <w:t>tuberculose</w:t>
      </w:r>
      <w:r w:rsidRPr="00996C1F">
        <w:rPr>
          <w:lang w:val="nl-NL"/>
        </w:rPr>
        <w:t xml:space="preserve"> moet beperkt worden tot de gevallen van tuberculosis fulminans of disseminata, waarin corticosteroïden gebruikt worden bij de behandeling van de ziekte samen met een gepast antituberculoticum.</w:t>
      </w:r>
      <w:r w:rsidRPr="00996C1F">
        <w:rPr>
          <w:lang w:val="nl-NL"/>
        </w:rPr>
        <w:br/>
        <w:t>Indien corticosteroïden gebruikt worden bij patiënten met latente tuberculose of patiënten met een positieve tuberculinereactie, is medische opvolging vereist aangezien een reactivering van de ziekte kan optreden. Indien het om een langdurige behandeling gaat, moeten deze patiënten een profylactische behandeling toegediend krijgen.</w:t>
      </w:r>
    </w:p>
    <w:p w14:paraId="5151F933" w14:textId="77777777" w:rsidR="004F2AD8" w:rsidRPr="00996C1F" w:rsidRDefault="004F2AD8">
      <w:pPr>
        <w:ind w:left="681"/>
        <w:rPr>
          <w:lang w:val="nl-NL"/>
        </w:rPr>
      </w:pPr>
    </w:p>
    <w:p w14:paraId="50D2020D" w14:textId="77777777" w:rsidR="004F2AD8" w:rsidRPr="00996C1F" w:rsidRDefault="004F2AD8">
      <w:pPr>
        <w:numPr>
          <w:ilvl w:val="0"/>
          <w:numId w:val="7"/>
        </w:numPr>
        <w:ind w:left="900" w:hanging="219"/>
        <w:rPr>
          <w:lang w:val="nl-NL"/>
        </w:rPr>
      </w:pPr>
      <w:r w:rsidRPr="00996C1F">
        <w:rPr>
          <w:lang w:val="nl-NL"/>
        </w:rPr>
        <w:t xml:space="preserve">Bij patiënten die </w:t>
      </w:r>
      <w:r w:rsidRPr="00996C1F">
        <w:rPr>
          <w:u w:val="single"/>
          <w:lang w:val="nl-NL"/>
        </w:rPr>
        <w:t>voordien reeds allergische reacties op medicijnen</w:t>
      </w:r>
      <w:r w:rsidRPr="00996C1F">
        <w:rPr>
          <w:lang w:val="nl-NL"/>
        </w:rPr>
        <w:t xml:space="preserve"> vertoonden, moeten vóór de toediening bijzondere voorzorgen genomen worden aangezien in uitzonderlijke gevallen anafylactische reacties waargenomen werden. </w:t>
      </w:r>
    </w:p>
    <w:p w14:paraId="23A59579" w14:textId="77777777" w:rsidR="004F2AD8" w:rsidRPr="00996C1F" w:rsidRDefault="004F2AD8">
      <w:pPr>
        <w:ind w:left="900" w:hanging="219"/>
        <w:rPr>
          <w:lang w:val="nl-NL"/>
        </w:rPr>
      </w:pPr>
    </w:p>
    <w:p w14:paraId="22641A40" w14:textId="77777777" w:rsidR="004F2AD8" w:rsidRPr="00996C1F" w:rsidRDefault="004F2AD8">
      <w:pPr>
        <w:numPr>
          <w:ilvl w:val="0"/>
          <w:numId w:val="8"/>
        </w:numPr>
        <w:ind w:left="900" w:hanging="219"/>
        <w:rPr>
          <w:lang w:val="nl-NL"/>
        </w:rPr>
      </w:pPr>
      <w:r w:rsidRPr="00996C1F">
        <w:rPr>
          <w:lang w:val="nl-NL"/>
        </w:rPr>
        <w:t xml:space="preserve">Door het product geïnduceerde </w:t>
      </w:r>
      <w:r w:rsidRPr="00996C1F">
        <w:rPr>
          <w:u w:val="single"/>
          <w:lang w:val="nl-NL"/>
        </w:rPr>
        <w:t>bijnierinsufficiëntie</w:t>
      </w:r>
      <w:r w:rsidRPr="00996C1F">
        <w:rPr>
          <w:lang w:val="nl-NL"/>
        </w:rPr>
        <w:t xml:space="preserve"> kan tot een minimum herleid worden door een progressieve dosisverlaging. Dit soort relatieve insufficiëntie kan maandenlang na de stopzetting van de behandeling blijven bestaan; daarom moet in geval van stresssituaties (zoals traumata, heelkunde, ernstige ziekte) die zich tijdens deze periode voordoen, de behandeling met corticosteroïden opnieuw worden ingesteld. Gezien de secretie van mineralocorticoïden verstoord kan zijn, moeten gelijktijdig zout en/of een mineralocorticosteroïden toegediend worden.</w:t>
      </w:r>
    </w:p>
    <w:p w14:paraId="754FD42D" w14:textId="77777777" w:rsidR="004F2AD8" w:rsidRPr="00996C1F" w:rsidRDefault="004F2AD8">
      <w:pPr>
        <w:ind w:left="681"/>
        <w:rPr>
          <w:lang w:val="nl-NL"/>
        </w:rPr>
      </w:pPr>
    </w:p>
    <w:p w14:paraId="128BB4C4" w14:textId="77777777" w:rsidR="004F2AD8" w:rsidRPr="00996C1F" w:rsidRDefault="004F2AD8">
      <w:pPr>
        <w:numPr>
          <w:ilvl w:val="0"/>
          <w:numId w:val="9"/>
        </w:numPr>
        <w:ind w:left="900" w:hanging="219"/>
        <w:rPr>
          <w:lang w:val="nl-NL"/>
        </w:rPr>
      </w:pPr>
      <w:r w:rsidRPr="00996C1F">
        <w:rPr>
          <w:lang w:val="nl-NL"/>
        </w:rPr>
        <w:t xml:space="preserve">Het corticosteroïde effect is verhoogd bij patiënten met hypothyroïdie of cirrose. Triamcinolonacetonide moet met de nodige omzichtigheid gebruikt worden in geval van </w:t>
      </w:r>
      <w:r w:rsidRPr="00996C1F">
        <w:rPr>
          <w:u w:val="single"/>
          <w:lang w:val="nl-NL"/>
        </w:rPr>
        <w:t>hypothyroïdie</w:t>
      </w:r>
      <w:r w:rsidRPr="00996C1F">
        <w:rPr>
          <w:lang w:val="nl-NL"/>
        </w:rPr>
        <w:t xml:space="preserve">, </w:t>
      </w:r>
      <w:r w:rsidRPr="00996C1F">
        <w:rPr>
          <w:u w:val="single"/>
          <w:lang w:val="nl-NL"/>
        </w:rPr>
        <w:t>cirrose</w:t>
      </w:r>
      <w:r w:rsidRPr="00996C1F">
        <w:rPr>
          <w:lang w:val="nl-NL"/>
        </w:rPr>
        <w:t xml:space="preserve"> of </w:t>
      </w:r>
      <w:r w:rsidRPr="00996C1F">
        <w:rPr>
          <w:u w:val="single"/>
          <w:lang w:val="nl-NL"/>
        </w:rPr>
        <w:t>myasthenia gravis</w:t>
      </w:r>
      <w:r w:rsidRPr="00996C1F">
        <w:rPr>
          <w:lang w:val="nl-NL"/>
        </w:rPr>
        <w:t xml:space="preserve"> behandeld met cholinesteraseremmers; in dit geval wordt aanbevolen, indien mogelijk, de behandeling met cholinesteraseremmers minstens 24 uur vóór het instellen van de behandeling met glucocorticosteroïden stop te zetten.</w:t>
      </w:r>
    </w:p>
    <w:p w14:paraId="14A284C5" w14:textId="77777777" w:rsidR="004F2AD8" w:rsidRPr="00996C1F" w:rsidRDefault="004F2AD8">
      <w:pPr>
        <w:ind w:left="900" w:hanging="219"/>
        <w:rPr>
          <w:lang w:val="nl-NL"/>
        </w:rPr>
      </w:pPr>
    </w:p>
    <w:p w14:paraId="39CC2A92" w14:textId="77777777" w:rsidR="004F2AD8" w:rsidRPr="00996C1F" w:rsidRDefault="004F2AD8">
      <w:pPr>
        <w:numPr>
          <w:ilvl w:val="0"/>
          <w:numId w:val="14"/>
        </w:numPr>
        <w:ind w:left="900" w:hanging="219"/>
        <w:rPr>
          <w:lang w:val="nl-NL"/>
        </w:rPr>
      </w:pPr>
      <w:r w:rsidRPr="00996C1F">
        <w:rPr>
          <w:lang w:val="nl-NL"/>
        </w:rPr>
        <w:t>Intra-articulaire inspuiting van een corticosteroïd kan zowel systemische als plaatselijke effecten hebben. Toevallige inspuiting van de suspensie in het weke weefsel rondom een gewricht is niet schadelijk maar vormt vaak de oorzaak van een ogenschijnlijk falen van de behandeling. Overmatige distensie van de gewrichtsholte en de aanwezigheid van corticosteroïd langsheen de naald moeten bij intra-articulaire inspuiting vermeden worden omdat dit subcutane atrofie kan veroorzaken.</w:t>
      </w:r>
    </w:p>
    <w:p w14:paraId="6889F4EF" w14:textId="77777777" w:rsidR="004F2AD8" w:rsidRPr="00996C1F" w:rsidRDefault="004F2AD8">
      <w:pPr>
        <w:ind w:left="900" w:hanging="219"/>
        <w:rPr>
          <w:lang w:val="nl-NL"/>
        </w:rPr>
      </w:pPr>
    </w:p>
    <w:p w14:paraId="0F86631F" w14:textId="77777777" w:rsidR="004F2AD8" w:rsidRPr="00996C1F" w:rsidRDefault="004F2AD8">
      <w:pPr>
        <w:numPr>
          <w:ilvl w:val="0"/>
          <w:numId w:val="15"/>
        </w:numPr>
        <w:ind w:left="900" w:hanging="219"/>
        <w:rPr>
          <w:rFonts w:ascii="Univers" w:hAnsi="Univers"/>
          <w:lang w:val="nl-NL"/>
        </w:rPr>
      </w:pPr>
      <w:r w:rsidRPr="00996C1F">
        <w:rPr>
          <w:lang w:val="nl-NL"/>
        </w:rPr>
        <w:t>Bij intra-articulaire toediening van corticosteroïden moet de patiënten gevraagd worden overbelasting te vermijden van de gewrichten waarin een symptomatisch resultaat werd bekomen. Onachtzaamheid op dit vlak kan de beschadiging van het gewricht doen verergeren, wat het weldadige effect van het corticosteroïd tenietdoet.</w:t>
      </w:r>
      <w:r w:rsidRPr="00996C1F">
        <w:rPr>
          <w:lang w:val="nl-NL"/>
        </w:rPr>
        <w:br/>
      </w:r>
      <w:r w:rsidRPr="00996C1F">
        <w:rPr>
          <w:lang w:val="nl-NL"/>
        </w:rPr>
        <w:lastRenderedPageBreak/>
        <w:t>Om de evolutie van de beschadiging te volgen, wordt in sommige gevallen een radiologisch onderzoek aangeraden.</w:t>
      </w:r>
    </w:p>
    <w:p w14:paraId="31955E20" w14:textId="77777777" w:rsidR="004F2AD8" w:rsidRPr="00996C1F" w:rsidRDefault="004F2AD8">
      <w:pPr>
        <w:ind w:left="900" w:hanging="219"/>
        <w:rPr>
          <w:lang w:val="nl-NL"/>
        </w:rPr>
      </w:pPr>
    </w:p>
    <w:p w14:paraId="4A48BE80" w14:textId="77777777" w:rsidR="004F2AD8" w:rsidRPr="00996C1F" w:rsidRDefault="004F2AD8">
      <w:pPr>
        <w:numPr>
          <w:ilvl w:val="0"/>
          <w:numId w:val="17"/>
        </w:numPr>
        <w:ind w:left="900" w:hanging="219"/>
        <w:rPr>
          <w:lang w:val="nl-NL"/>
        </w:rPr>
      </w:pPr>
      <w:r w:rsidRPr="00996C1F">
        <w:rPr>
          <w:lang w:val="nl-NL"/>
        </w:rPr>
        <w:t>Plaatselijke inspuiting van een corticosteroïd in een reeds geïnfecteerd gewricht is te vermijden.</w:t>
      </w:r>
    </w:p>
    <w:p w14:paraId="63C11C46" w14:textId="77777777" w:rsidR="004F2AD8" w:rsidRPr="00996C1F" w:rsidRDefault="004F2AD8">
      <w:pPr>
        <w:ind w:left="900" w:hanging="219"/>
        <w:rPr>
          <w:lang w:val="nl-NL"/>
        </w:rPr>
      </w:pPr>
    </w:p>
    <w:p w14:paraId="0266993A" w14:textId="77777777" w:rsidR="004F2AD8" w:rsidRPr="00996C1F" w:rsidRDefault="004F2AD8">
      <w:pPr>
        <w:numPr>
          <w:ilvl w:val="0"/>
          <w:numId w:val="16"/>
        </w:numPr>
        <w:ind w:left="900" w:hanging="219"/>
        <w:rPr>
          <w:lang w:val="nl-NL"/>
        </w:rPr>
      </w:pPr>
      <w:r w:rsidRPr="00996C1F">
        <w:rPr>
          <w:lang w:val="nl-NL"/>
        </w:rPr>
        <w:t>Corticosteroïden mogen niet ingespoten worden in onstabiele gewrichten. Herhaalde intra-articulaire inspuiting kan in bepaalde gevallen aanleiding geven tot onstabiliteit van het gewricht. Wanneer herhaalde injecties toegediend worden, is een radiologische opvolging aangeraden.</w:t>
      </w:r>
    </w:p>
    <w:p w14:paraId="3510F9D9" w14:textId="77777777" w:rsidR="004F2AD8" w:rsidRPr="00996C1F" w:rsidRDefault="004F2AD8">
      <w:pPr>
        <w:ind w:left="900" w:hanging="219"/>
        <w:rPr>
          <w:lang w:val="nl-NL"/>
        </w:rPr>
      </w:pPr>
    </w:p>
    <w:p w14:paraId="674DC104" w14:textId="77777777" w:rsidR="004F2AD8" w:rsidRPr="00996C1F" w:rsidRDefault="004F2AD8">
      <w:pPr>
        <w:numPr>
          <w:ilvl w:val="0"/>
          <w:numId w:val="17"/>
        </w:numPr>
        <w:ind w:left="900" w:hanging="219"/>
        <w:rPr>
          <w:lang w:val="nl-NL"/>
        </w:rPr>
      </w:pPr>
      <w:r w:rsidRPr="00996C1F">
        <w:rPr>
          <w:lang w:val="nl-NL"/>
        </w:rPr>
        <w:t>In de loop van een langdurige behandeling is een eiwitrijk dieet essentieel om de neiging tot progressief gewichtsverlies tegen te gaan, een neiging die soms gepaard gaat met een negatieve stikstofbalans, uitmergeling en zwakte van de skeletspieren.</w:t>
      </w:r>
    </w:p>
    <w:p w14:paraId="2CF2965D" w14:textId="77777777" w:rsidR="004F2AD8" w:rsidRPr="00996C1F" w:rsidRDefault="004F2AD8">
      <w:pPr>
        <w:ind w:left="900" w:hanging="219"/>
        <w:rPr>
          <w:lang w:val="nl-NL"/>
        </w:rPr>
      </w:pPr>
    </w:p>
    <w:p w14:paraId="717F3471" w14:textId="77777777" w:rsidR="004F2AD8" w:rsidRPr="00996C1F" w:rsidRDefault="004F2AD8">
      <w:pPr>
        <w:numPr>
          <w:ilvl w:val="0"/>
          <w:numId w:val="18"/>
        </w:numPr>
        <w:ind w:left="900" w:hanging="219"/>
        <w:rPr>
          <w:lang w:val="nl-NL"/>
        </w:rPr>
      </w:pPr>
      <w:r w:rsidRPr="00996C1F">
        <w:rPr>
          <w:lang w:val="nl-NL"/>
        </w:rPr>
        <w:t>In geval van gastroduodenaal ulcus, kan een eventueel recidief asymptomatisch zijn tot het ogenblik waarop de perforatie of bloeding zich voordoet. Bij patiënten met klachten van maagpijn of in geval van een langdurige behandeling moet een radiologisch onderzoek uitgevoerd worden.</w:t>
      </w:r>
    </w:p>
    <w:p w14:paraId="380BB7E8" w14:textId="77777777" w:rsidR="004F2AD8" w:rsidRPr="00996C1F" w:rsidRDefault="004F2AD8">
      <w:pPr>
        <w:ind w:left="900" w:hanging="219"/>
        <w:rPr>
          <w:lang w:val="nl-NL"/>
        </w:rPr>
      </w:pPr>
    </w:p>
    <w:p w14:paraId="349B05A4" w14:textId="77777777" w:rsidR="004F2AD8" w:rsidRPr="00996C1F" w:rsidRDefault="004F2AD8">
      <w:pPr>
        <w:numPr>
          <w:ilvl w:val="0"/>
          <w:numId w:val="18"/>
        </w:numPr>
        <w:ind w:left="900" w:hanging="219"/>
        <w:rPr>
          <w:lang w:val="nl-NL"/>
        </w:rPr>
      </w:pPr>
      <w:r w:rsidRPr="00996C1F">
        <w:rPr>
          <w:lang w:val="nl-NL"/>
        </w:rPr>
        <w:t>Na stopzetting van de behandeling moet de patiënt alleszins gevolgd worden, aangezien de symptomen van de ziekte plots kunnen heroptreden.</w:t>
      </w:r>
    </w:p>
    <w:p w14:paraId="3A342D8F" w14:textId="77777777" w:rsidR="004F2AD8" w:rsidRPr="00996C1F" w:rsidRDefault="004F2AD8">
      <w:pPr>
        <w:ind w:left="900" w:hanging="219"/>
        <w:rPr>
          <w:lang w:val="nl-NL"/>
        </w:rPr>
      </w:pPr>
    </w:p>
    <w:p w14:paraId="7EC49DA3" w14:textId="77777777" w:rsidR="00482166" w:rsidRPr="0016787A" w:rsidRDefault="004F2AD8" w:rsidP="00EE4058">
      <w:pPr>
        <w:pStyle w:val="ListParagraph"/>
        <w:numPr>
          <w:ilvl w:val="0"/>
          <w:numId w:val="18"/>
        </w:numPr>
        <w:ind w:left="900" w:hanging="180"/>
        <w:rPr>
          <w:lang w:val="nl-NL"/>
        </w:rPr>
      </w:pPr>
      <w:r w:rsidRPr="0016787A">
        <w:rPr>
          <w:lang w:val="nl-NL"/>
        </w:rPr>
        <w:t xml:space="preserve">Triamcinolonacetonide moet met de nodige omzichtigheid toegediend worden aan </w:t>
      </w:r>
      <w:r w:rsidR="0016787A" w:rsidRPr="0016787A">
        <w:rPr>
          <w:lang w:val="nl-NL"/>
        </w:rPr>
        <w:t xml:space="preserve">  </w:t>
      </w:r>
      <w:r w:rsidRPr="0016787A">
        <w:rPr>
          <w:lang w:val="nl-NL"/>
        </w:rPr>
        <w:t>oudere personen, door gebruik van de laagst mogelijke dosis gedurende zo kort mogelijke tijd;</w:t>
      </w:r>
      <w:r w:rsidR="00482166" w:rsidRPr="0016787A">
        <w:rPr>
          <w:lang w:val="nl-NL"/>
        </w:rPr>
        <w:t xml:space="preserve"> </w:t>
      </w:r>
      <w:r w:rsidR="009A4798" w:rsidRPr="0016787A">
        <w:rPr>
          <w:lang w:val="nl-NL"/>
        </w:rPr>
        <w:t xml:space="preserve">Aangezien de frequente negatieve bijwerkingen van systemische corticosteroïden meer ernstige gevolgen kunnen hebben bij ouderen wordt een verhoogde klinische controle aanbevolen. </w:t>
      </w:r>
    </w:p>
    <w:p w14:paraId="57E07C7C" w14:textId="77777777" w:rsidR="004F2AD8" w:rsidRPr="00996C1F" w:rsidRDefault="004F2AD8">
      <w:pPr>
        <w:ind w:left="681"/>
        <w:rPr>
          <w:lang w:val="nl-NL"/>
        </w:rPr>
      </w:pPr>
    </w:p>
    <w:p w14:paraId="5A148E11" w14:textId="77777777" w:rsidR="004F2AD8" w:rsidRPr="00996C1F" w:rsidRDefault="004F2AD8">
      <w:pPr>
        <w:numPr>
          <w:ilvl w:val="0"/>
          <w:numId w:val="19"/>
        </w:numPr>
        <w:ind w:left="900" w:hanging="219"/>
        <w:rPr>
          <w:lang w:val="nl-NL"/>
        </w:rPr>
      </w:pPr>
      <w:r w:rsidRPr="00996C1F">
        <w:rPr>
          <w:lang w:val="nl-NL"/>
        </w:rPr>
        <w:t>In geval van gelijktijdige inname van glucocorticosteroïden en geneesmiddelen die kaliumdepletie veroorzaken, moet de kaliëmie nauwlettend gevolgd worden.</w:t>
      </w:r>
    </w:p>
    <w:p w14:paraId="619B0707" w14:textId="77777777" w:rsidR="004F2AD8" w:rsidRPr="00996C1F" w:rsidRDefault="004F2AD8">
      <w:pPr>
        <w:ind w:left="900" w:hanging="219"/>
        <w:rPr>
          <w:lang w:val="nl-NL"/>
        </w:rPr>
      </w:pPr>
    </w:p>
    <w:p w14:paraId="1369841E" w14:textId="77777777" w:rsidR="004F2AD8" w:rsidRPr="00996C1F" w:rsidRDefault="004F2AD8">
      <w:pPr>
        <w:ind w:left="900" w:hanging="219"/>
        <w:rPr>
          <w:u w:val="single"/>
          <w:lang w:val="nl-NL"/>
        </w:rPr>
      </w:pPr>
      <w:r w:rsidRPr="00996C1F">
        <w:rPr>
          <w:u w:val="single"/>
          <w:lang w:val="nl-NL"/>
        </w:rPr>
        <w:t>Bijzondere waarschuwingen</w:t>
      </w:r>
    </w:p>
    <w:p w14:paraId="51FE2DF1" w14:textId="77777777" w:rsidR="004F2AD8" w:rsidRPr="00996C1F" w:rsidRDefault="004F2AD8">
      <w:pPr>
        <w:ind w:left="900" w:hanging="219"/>
        <w:rPr>
          <w:lang w:val="nl-NL"/>
        </w:rPr>
      </w:pPr>
    </w:p>
    <w:p w14:paraId="1F35557D" w14:textId="77777777" w:rsidR="004F2AD8" w:rsidRDefault="004F2AD8">
      <w:pPr>
        <w:numPr>
          <w:ilvl w:val="0"/>
          <w:numId w:val="5"/>
        </w:numPr>
        <w:ind w:left="900" w:hanging="219"/>
        <w:rPr>
          <w:lang w:val="nl-NL"/>
        </w:rPr>
      </w:pPr>
      <w:r w:rsidRPr="00996C1F">
        <w:rPr>
          <w:lang w:val="nl-NL"/>
        </w:rPr>
        <w:t xml:space="preserve">Middelmatige en hoge dosissen hydrocortisone of cortisone kunnen aanleiding geven tot een verhoogde </w:t>
      </w:r>
      <w:r w:rsidRPr="00996C1F">
        <w:rPr>
          <w:u w:val="single"/>
          <w:lang w:val="nl-NL"/>
        </w:rPr>
        <w:t>bloeddruk</w:t>
      </w:r>
      <w:r w:rsidRPr="00996C1F">
        <w:rPr>
          <w:lang w:val="nl-NL"/>
        </w:rPr>
        <w:t xml:space="preserve">, </w:t>
      </w:r>
      <w:r w:rsidRPr="00996C1F">
        <w:rPr>
          <w:u w:val="single"/>
          <w:lang w:val="nl-NL"/>
        </w:rPr>
        <w:t>vocht- en natriumretentie</w:t>
      </w:r>
      <w:r w:rsidRPr="00996C1F">
        <w:rPr>
          <w:lang w:val="nl-NL"/>
        </w:rPr>
        <w:t xml:space="preserve"> en een </w:t>
      </w:r>
      <w:r w:rsidRPr="00996C1F">
        <w:rPr>
          <w:u w:val="single"/>
          <w:lang w:val="nl-NL"/>
        </w:rPr>
        <w:t>verhoogde kaliumexcretie</w:t>
      </w:r>
      <w:r w:rsidRPr="00996C1F">
        <w:rPr>
          <w:lang w:val="nl-NL"/>
        </w:rPr>
        <w:t>. Deze ongewenste effecten treden minder vaak op bij gebruik van synthetische derivaten, behalve wanneer die in hoge dosissen worden gebruikt; een vermindering van het gebruik van zout in de voeding en toediening van kaliumsupplementen kunnen nodig zijn. Alle corticosteroïden brengen een verhoogde calciumexcretie teweeg. Er kan zich oedeem vormen ingeval van een nieraandoening met verminderde glomerulaire filtratie.</w:t>
      </w:r>
    </w:p>
    <w:p w14:paraId="726F6418" w14:textId="2D423458" w:rsidR="00B30DF8" w:rsidRPr="00B30DF8" w:rsidRDefault="00942264" w:rsidP="00B30DF8">
      <w:pPr>
        <w:ind w:left="900"/>
        <w:rPr>
          <w:lang w:val="nl-NL"/>
        </w:rPr>
      </w:pPr>
      <w:r w:rsidRPr="00B30DF8">
        <w:rPr>
          <w:lang w:val="nl-NL"/>
        </w:rPr>
        <w:t>Aanwezigheid van benzylalcohol.</w:t>
      </w:r>
      <w:r w:rsidR="00B30DF8">
        <w:rPr>
          <w:lang w:val="nl-NL"/>
        </w:rPr>
        <w:t xml:space="preserve"> </w:t>
      </w:r>
      <w:r w:rsidRPr="00B30DF8">
        <w:rPr>
          <w:lang w:val="nl-NL"/>
        </w:rPr>
        <w:t>Grote hoeveelheden moeten met voorzichtigheid en alleen indien nodig worden gebruikt, vooral bij personen met een verminderde lever- of nierfunctie, vanwege het risico op accumulatie en toxiciteit (metabole acidose).</w:t>
      </w:r>
    </w:p>
    <w:p w14:paraId="6C5A9FF4" w14:textId="77777777" w:rsidR="004F2AD8" w:rsidRPr="00996C1F" w:rsidRDefault="004F2AD8">
      <w:pPr>
        <w:pStyle w:val="BodyText"/>
        <w:numPr>
          <w:ilvl w:val="0"/>
          <w:numId w:val="6"/>
        </w:numPr>
        <w:ind w:left="900" w:hanging="219"/>
        <w:rPr>
          <w:rFonts w:ascii="Times New Roman" w:hAnsi="Times New Roman"/>
          <w:lang w:val="nl-NL"/>
        </w:rPr>
      </w:pPr>
      <w:r w:rsidRPr="00996C1F">
        <w:rPr>
          <w:rFonts w:ascii="Times New Roman" w:hAnsi="Times New Roman"/>
          <w:lang w:val="nl-NL"/>
        </w:rPr>
        <w:t xml:space="preserve">In de loop van een behandeling met corticosteroïden mogen de patiënten niet </w:t>
      </w:r>
      <w:r w:rsidRPr="00996C1F">
        <w:rPr>
          <w:rFonts w:ascii="Times New Roman" w:hAnsi="Times New Roman"/>
          <w:u w:val="single"/>
          <w:lang w:val="nl-NL"/>
        </w:rPr>
        <w:t>gevaccineerd</w:t>
      </w:r>
      <w:r w:rsidRPr="00996C1F">
        <w:rPr>
          <w:rFonts w:ascii="Times New Roman" w:hAnsi="Times New Roman"/>
          <w:lang w:val="nl-NL"/>
        </w:rPr>
        <w:t xml:space="preserve"> worden. Andere </w:t>
      </w:r>
      <w:r w:rsidRPr="00996C1F">
        <w:rPr>
          <w:rFonts w:ascii="Times New Roman" w:hAnsi="Times New Roman"/>
          <w:u w:val="single"/>
          <w:lang w:val="nl-NL"/>
        </w:rPr>
        <w:t>immunologische behandelingen</w:t>
      </w:r>
      <w:r w:rsidRPr="00996C1F">
        <w:rPr>
          <w:rFonts w:ascii="Times New Roman" w:hAnsi="Times New Roman"/>
          <w:lang w:val="nl-NL"/>
        </w:rPr>
        <w:t xml:space="preserve"> mogen niet worden toegepast bij patiënten die corticosteroïden krijgen, vooral bij hoge dosissen, vanwege het risico op neurologische verwikkelingen en het niet aanmaken van antistoffen.</w:t>
      </w:r>
    </w:p>
    <w:p w14:paraId="6BB73B57" w14:textId="77777777" w:rsidR="00372489" w:rsidRPr="00996C1F" w:rsidRDefault="006D6A86" w:rsidP="00EE4058">
      <w:pPr>
        <w:numPr>
          <w:ilvl w:val="4"/>
          <w:numId w:val="6"/>
        </w:numPr>
        <w:ind w:left="900" w:hanging="270"/>
        <w:rPr>
          <w:lang w:val="nl-NL"/>
        </w:rPr>
      </w:pPr>
      <w:r w:rsidRPr="00996C1F">
        <w:rPr>
          <w:lang w:val="nl-NL"/>
        </w:rPr>
        <w:lastRenderedPageBreak/>
        <w:t>Studies om de veiligheid van het gebruik van Kenacort-A 10 mg/ml via subconjunctivale, intraturbinale, sub-pennen en retrobulbaire en intraoculaire (intravitreale) injectie aan te tonen zijn onvoldoende uitgevoerd. Gevallen van endophthalmitis oogontsteking, verhoogde intra-oculaire druk en zichtstoornissen zijn gemeld bij intravitreale toediening. Enkele gevallen van blindheid zijn gemeld na injectie van corticosteroïden suspensies in de neusholte en na intralesionale injectie bij het hoofd. De toediening van Kenacort-A 10 mg/ml (triamcinolonacetonide injecteerbare suspensie) die via deze routes wordt afgeraden.</w:t>
      </w:r>
    </w:p>
    <w:p w14:paraId="6F6C616D" w14:textId="77777777" w:rsidR="004F2AD8" w:rsidRPr="00996C1F" w:rsidRDefault="004F2AD8">
      <w:pPr>
        <w:ind w:left="900" w:hanging="219"/>
        <w:rPr>
          <w:lang w:val="nl-NL"/>
        </w:rPr>
      </w:pPr>
    </w:p>
    <w:p w14:paraId="2BE2974C" w14:textId="77777777" w:rsidR="004F2AD8" w:rsidRPr="00996C1F" w:rsidRDefault="004F2AD8">
      <w:pPr>
        <w:numPr>
          <w:ilvl w:val="0"/>
          <w:numId w:val="8"/>
        </w:numPr>
        <w:ind w:left="900" w:hanging="219"/>
        <w:rPr>
          <w:lang w:val="nl-NL"/>
        </w:rPr>
      </w:pPr>
      <w:r w:rsidRPr="00996C1F">
        <w:rPr>
          <w:lang w:val="nl-NL"/>
        </w:rPr>
        <w:t xml:space="preserve">De onschadelijkheid van een </w:t>
      </w:r>
      <w:r w:rsidRPr="00996C1F">
        <w:rPr>
          <w:u w:val="single"/>
          <w:lang w:val="nl-NL"/>
        </w:rPr>
        <w:t>subconjunctivale</w:t>
      </w:r>
      <w:r w:rsidRPr="00996C1F">
        <w:rPr>
          <w:lang w:val="nl-NL"/>
        </w:rPr>
        <w:t xml:space="preserve"> en retrobulbaire </w:t>
      </w:r>
      <w:r w:rsidRPr="00996C1F">
        <w:rPr>
          <w:u w:val="single"/>
          <w:lang w:val="nl-NL"/>
        </w:rPr>
        <w:t>inspuiting</w:t>
      </w:r>
      <w:r w:rsidRPr="00996C1F">
        <w:rPr>
          <w:lang w:val="nl-NL"/>
        </w:rPr>
        <w:t xml:space="preserve"> van Kenacort-A 10 mg/ml is niet bevestigd. </w:t>
      </w:r>
    </w:p>
    <w:p w14:paraId="2ED30C76" w14:textId="77777777" w:rsidR="004F2AD8" w:rsidRPr="00996C1F" w:rsidRDefault="004F2AD8">
      <w:pPr>
        <w:ind w:left="681"/>
        <w:rPr>
          <w:lang w:val="nl-NL"/>
        </w:rPr>
      </w:pPr>
    </w:p>
    <w:p w14:paraId="7191DA23" w14:textId="77777777" w:rsidR="004F2AD8" w:rsidRPr="00996C1F" w:rsidRDefault="004F2AD8">
      <w:pPr>
        <w:numPr>
          <w:ilvl w:val="0"/>
          <w:numId w:val="8"/>
        </w:numPr>
        <w:ind w:left="900" w:hanging="219"/>
        <w:rPr>
          <w:lang w:val="nl-NL"/>
        </w:rPr>
      </w:pPr>
      <w:r w:rsidRPr="00996C1F">
        <w:rPr>
          <w:lang w:val="nl-NL"/>
        </w:rPr>
        <w:t xml:space="preserve">Gezien de afwezigheid van een werkelijke peesschede, mag de </w:t>
      </w:r>
      <w:r w:rsidRPr="00996C1F">
        <w:rPr>
          <w:u w:val="single"/>
          <w:lang w:val="nl-NL"/>
        </w:rPr>
        <w:t>Achillespees</w:t>
      </w:r>
      <w:r w:rsidRPr="00996C1F">
        <w:rPr>
          <w:lang w:val="nl-NL"/>
        </w:rPr>
        <w:t xml:space="preserve"> niet worden behandeld met corticosteroïden.</w:t>
      </w:r>
    </w:p>
    <w:p w14:paraId="036A77AA" w14:textId="77777777" w:rsidR="004F2AD8" w:rsidRPr="00996C1F" w:rsidRDefault="004F2AD8">
      <w:pPr>
        <w:ind w:left="900" w:hanging="219"/>
        <w:rPr>
          <w:lang w:val="nl-NL"/>
        </w:rPr>
      </w:pPr>
    </w:p>
    <w:p w14:paraId="267D6D7B" w14:textId="77777777" w:rsidR="004F2AD8" w:rsidRPr="00996C1F" w:rsidRDefault="004F2AD8">
      <w:pPr>
        <w:numPr>
          <w:ilvl w:val="0"/>
          <w:numId w:val="10"/>
        </w:numPr>
        <w:ind w:left="900" w:hanging="219"/>
        <w:rPr>
          <w:lang w:val="nl-NL"/>
        </w:rPr>
      </w:pPr>
      <w:r w:rsidRPr="00996C1F">
        <w:rPr>
          <w:lang w:val="nl-NL"/>
        </w:rPr>
        <w:t>Bestaande emotionele labiliteit of psychotische neigingen kunnen verergerd worden door corticosteroïden.</w:t>
      </w:r>
    </w:p>
    <w:p w14:paraId="34DDCE6B" w14:textId="77777777" w:rsidR="004F2AD8" w:rsidRPr="00996C1F" w:rsidRDefault="004F2AD8">
      <w:pPr>
        <w:ind w:left="900" w:hanging="219"/>
        <w:rPr>
          <w:lang w:val="nl-NL"/>
        </w:rPr>
      </w:pPr>
    </w:p>
    <w:p w14:paraId="3C44A455" w14:textId="77777777" w:rsidR="004F2AD8" w:rsidRPr="00996C1F" w:rsidRDefault="004F2AD8">
      <w:pPr>
        <w:numPr>
          <w:ilvl w:val="0"/>
          <w:numId w:val="13"/>
        </w:numPr>
        <w:ind w:left="900" w:hanging="219"/>
        <w:rPr>
          <w:lang w:val="nl-NL"/>
        </w:rPr>
      </w:pPr>
      <w:r w:rsidRPr="00996C1F">
        <w:rPr>
          <w:lang w:val="nl-NL"/>
        </w:rPr>
        <w:t>Ofschoon door een behandeling met Kenacort-A 10 mg/ml de symptomen van de ontsteking kunnen verbeteren, gaat het geenszins om een genezing en heeft het corticosteroïd geen enkel effect op de oorzaak van de aandoening. Een behandeling met Kenacort-A 10 mg/ml sluit dus de noodzaak om de gebruikelijk gangbare maatregelen te nemen niet uit.</w:t>
      </w:r>
    </w:p>
    <w:p w14:paraId="306112F8" w14:textId="77777777" w:rsidR="004F2AD8" w:rsidRPr="00996C1F" w:rsidRDefault="004F2AD8">
      <w:pPr>
        <w:ind w:left="900" w:hanging="219"/>
        <w:rPr>
          <w:lang w:val="nl-NL"/>
        </w:rPr>
      </w:pPr>
    </w:p>
    <w:p w14:paraId="17216F84" w14:textId="77777777" w:rsidR="004F2AD8" w:rsidRPr="00996C1F" w:rsidRDefault="004F2AD8">
      <w:pPr>
        <w:numPr>
          <w:ilvl w:val="0"/>
          <w:numId w:val="16"/>
        </w:numPr>
        <w:ind w:left="900" w:hanging="219"/>
        <w:rPr>
          <w:lang w:val="nl-NL"/>
        </w:rPr>
      </w:pPr>
      <w:r w:rsidRPr="00996C1F">
        <w:rPr>
          <w:lang w:val="nl-NL"/>
        </w:rPr>
        <w:t xml:space="preserve">Uitzonderlijk verergert de gewrichtspijn. Aanzienlijke verergering van de pijn, gepaard gaande met plaatselijke zwelling, verminderde beweeglijkheid van het gewricht, koorts en onpasselijkheid kunnen wijzen op septische artritis. Indien deze verwikkelingen optreden en indien de diagnose van </w:t>
      </w:r>
      <w:r w:rsidRPr="00996C1F">
        <w:rPr>
          <w:u w:val="single"/>
          <w:lang w:val="nl-NL"/>
        </w:rPr>
        <w:t>septische artritis</w:t>
      </w:r>
      <w:r w:rsidRPr="00996C1F">
        <w:rPr>
          <w:lang w:val="nl-NL"/>
        </w:rPr>
        <w:t xml:space="preserve"> bevestigd wordt, moet de toediening van het corticosteroïd stopgezet worden en onmiddellijk een antimicrobiële behandeling ingesteld worden, die tot 7 à 10 dagen na het verdwijnen van de infectietekens moet worden gevolgd. </w:t>
      </w:r>
      <w:r w:rsidRPr="00996C1F">
        <w:rPr>
          <w:lang w:val="nl-NL"/>
        </w:rPr>
        <w:br/>
        <w:t>Vóór elke intra-articulaire toediening is een onderzoek van het gewrichtsvocht nodig om een septisch proces uit te sluiten.</w:t>
      </w:r>
    </w:p>
    <w:p w14:paraId="78BFD000" w14:textId="77777777" w:rsidR="004F2AD8" w:rsidRPr="00996C1F" w:rsidRDefault="004F2AD8">
      <w:pPr>
        <w:pStyle w:val="Header"/>
        <w:tabs>
          <w:tab w:val="clear" w:pos="9072"/>
        </w:tabs>
        <w:rPr>
          <w:lang w:val="nl-NL"/>
        </w:rPr>
      </w:pPr>
    </w:p>
    <w:p w14:paraId="719B80EA" w14:textId="77777777" w:rsidR="004F2AD8" w:rsidRPr="00996C1F" w:rsidRDefault="004F2AD8">
      <w:pPr>
        <w:numPr>
          <w:ilvl w:val="0"/>
          <w:numId w:val="17"/>
        </w:numPr>
        <w:ind w:left="900" w:hanging="219"/>
        <w:rPr>
          <w:lang w:val="nl-NL"/>
        </w:rPr>
      </w:pPr>
      <w:r w:rsidRPr="00996C1F">
        <w:rPr>
          <w:lang w:val="nl-NL"/>
        </w:rPr>
        <w:t>Zoals andere krachtige corticosteroïden moet triamcinolonacetonide onder strikt medisch toezicht gebruikt worden.</w:t>
      </w:r>
    </w:p>
    <w:p w14:paraId="75AD8704" w14:textId="77777777" w:rsidR="004F2AD8" w:rsidRPr="00996C1F" w:rsidRDefault="004F2AD8">
      <w:pPr>
        <w:ind w:left="900" w:hanging="219"/>
        <w:jc w:val="both"/>
        <w:rPr>
          <w:rFonts w:ascii="Univers" w:hAnsi="Univers"/>
          <w:lang w:val="nl-NL"/>
        </w:rPr>
      </w:pPr>
    </w:p>
    <w:p w14:paraId="1D21A7F4" w14:textId="77777777" w:rsidR="004F2AD8" w:rsidRPr="00996C1F" w:rsidRDefault="004F2AD8">
      <w:pPr>
        <w:numPr>
          <w:ilvl w:val="0"/>
          <w:numId w:val="18"/>
        </w:numPr>
        <w:ind w:left="900" w:hanging="219"/>
        <w:rPr>
          <w:lang w:val="nl-NL"/>
        </w:rPr>
      </w:pPr>
      <w:r w:rsidRPr="00996C1F">
        <w:rPr>
          <w:lang w:val="nl-NL"/>
        </w:rPr>
        <w:t xml:space="preserve">In geval van plaatselijke of systemische </w:t>
      </w:r>
      <w:r w:rsidRPr="00996C1F">
        <w:rPr>
          <w:u w:val="single"/>
          <w:lang w:val="nl-NL"/>
        </w:rPr>
        <w:t>infecties</w:t>
      </w:r>
      <w:r w:rsidRPr="00996C1F">
        <w:rPr>
          <w:lang w:val="nl-NL"/>
        </w:rPr>
        <w:t xml:space="preserve"> wordt een behandeling met triamcinolonacetonide niet aanbevolen, maar kan deze niettemin met de nodige voorzorgen ingesteld worden en enkel gecombineerd met een gepaste antimicrobiële behandeling. Triamcinolonacetonide kan infectietekens maskeren en de verspreiding van het besmettelijke micro-organisme bevorderen. Bijgevolg moet men bij alle met triamcinolonacetonide behandelde patiënten bedacht zijn op het optreden van intercurrente infecties. Indien er zich een infectie voordoet, moet een gepaste en krachtige antimicrobiële behandeling opgestart worden. Indien mogelijk moet men vermijden dat de toediening van corticoïden plots stopgezet wordt vanwege het gevaar van een superpositie van een bijnierinsufficiëntie op het ontstekingsproces.</w:t>
      </w:r>
    </w:p>
    <w:p w14:paraId="2F350D17" w14:textId="77777777" w:rsidR="004F2AD8" w:rsidRPr="00996C1F" w:rsidRDefault="004F2AD8">
      <w:pPr>
        <w:ind w:left="900" w:hanging="219"/>
        <w:rPr>
          <w:lang w:val="nl-NL"/>
        </w:rPr>
      </w:pPr>
    </w:p>
    <w:p w14:paraId="2143EFD8" w14:textId="77777777" w:rsidR="002D35DF" w:rsidRPr="002D35DF" w:rsidRDefault="002D35DF" w:rsidP="00B30DF8">
      <w:pPr>
        <w:numPr>
          <w:ilvl w:val="0"/>
          <w:numId w:val="18"/>
        </w:numPr>
        <w:ind w:left="900" w:hanging="219"/>
        <w:rPr>
          <w:lang w:val="nl-NL"/>
        </w:rPr>
      </w:pPr>
      <w:r w:rsidRPr="002D35DF">
        <w:rPr>
          <w:bCs/>
          <w:u w:val="single"/>
        </w:rPr>
        <w:t>Visu</w:t>
      </w:r>
      <w:r>
        <w:rPr>
          <w:bCs/>
          <w:u w:val="single"/>
        </w:rPr>
        <w:t>s</w:t>
      </w:r>
      <w:r w:rsidRPr="002D35DF">
        <w:rPr>
          <w:bCs/>
          <w:u w:val="single"/>
        </w:rPr>
        <w:t xml:space="preserve">stoornis </w:t>
      </w:r>
    </w:p>
    <w:p w14:paraId="4654E5B2" w14:textId="77777777" w:rsidR="00844DFD" w:rsidRDefault="00844DFD" w:rsidP="002D35DF">
      <w:pPr>
        <w:ind w:left="900"/>
        <w:rPr>
          <w:lang w:val="nl-NL"/>
        </w:rPr>
      </w:pPr>
      <w:r>
        <w:rPr>
          <w:lang w:val="nl-NL"/>
        </w:rPr>
        <w:t xml:space="preserve">Visusstoornis kan worden gemeld bij systemisch en topisch gebruik van </w:t>
      </w:r>
      <w:r w:rsidR="00406013" w:rsidRPr="00894804">
        <w:rPr>
          <w:lang w:val="nl-NL"/>
        </w:rPr>
        <w:t xml:space="preserve">corticosteroïden. Indien een patiënt symptomen ontwikkelt zoals wazig zien of </w:t>
      </w:r>
      <w:r w:rsidR="00406013" w:rsidRPr="00894804">
        <w:rPr>
          <w:lang w:val="nl-NL"/>
        </w:rPr>
        <w:lastRenderedPageBreak/>
        <w:t>andere visusstoornissen, dient te worden overwogen de patiënt door te verwijzen naar een oogarts ter beoordeling van mogelijke oorzaken waaronder cataract, glaucoom of zeldzame ziekten zoals centrale sereuze chorioretinopathie (CSCR) die zijn gemeld na gebruik van systemische en topische corticosteroïden.</w:t>
      </w:r>
    </w:p>
    <w:p w14:paraId="41FCA84B" w14:textId="77777777" w:rsidR="00844DFD" w:rsidRDefault="00844DFD" w:rsidP="00844DFD">
      <w:pPr>
        <w:pStyle w:val="ListParagraph"/>
        <w:rPr>
          <w:lang w:val="nl-NL"/>
        </w:rPr>
      </w:pPr>
    </w:p>
    <w:p w14:paraId="14D11BCB" w14:textId="77777777" w:rsidR="004F2AD8" w:rsidRPr="00996C1F" w:rsidRDefault="004F2AD8">
      <w:pPr>
        <w:numPr>
          <w:ilvl w:val="0"/>
          <w:numId w:val="18"/>
        </w:numPr>
        <w:ind w:left="900" w:hanging="219"/>
        <w:rPr>
          <w:lang w:val="nl-NL"/>
        </w:rPr>
      </w:pPr>
      <w:r w:rsidRPr="00996C1F">
        <w:rPr>
          <w:lang w:val="nl-NL"/>
        </w:rPr>
        <w:t>Langdurig gebruik van corticosteroïden kan het risico op secundaire ooginfecties, veroorzaakt door schimmels of virussen, verhogen.</w:t>
      </w:r>
    </w:p>
    <w:p w14:paraId="3523E65B" w14:textId="77777777" w:rsidR="004F2AD8" w:rsidRPr="00996C1F" w:rsidRDefault="004F2AD8">
      <w:pPr>
        <w:ind w:left="681"/>
        <w:rPr>
          <w:lang w:val="nl-NL"/>
        </w:rPr>
      </w:pPr>
    </w:p>
    <w:p w14:paraId="3D48FFF5" w14:textId="77777777" w:rsidR="00DB1942" w:rsidRPr="00996C1F" w:rsidRDefault="00DB1942" w:rsidP="00DB1942">
      <w:pPr>
        <w:numPr>
          <w:ilvl w:val="1"/>
          <w:numId w:val="18"/>
        </w:numPr>
        <w:ind w:left="900" w:hanging="180"/>
        <w:rPr>
          <w:lang w:val="nl-NL"/>
        </w:rPr>
      </w:pPr>
      <w:r w:rsidRPr="00996C1F">
        <w:rPr>
          <w:lang w:val="nl-NL"/>
        </w:rPr>
        <w:t>Onregelmatige maandstonden kunnen optreden en in postmenopauzale vrouwen is vaginaal bloedverlies waargenomen. Vrouwelijke patiënten dienen hierover geïnformeerd te worden, maar het mag het uitvoeren van passende onderzoeken niet in de weg staan.</w:t>
      </w:r>
    </w:p>
    <w:p w14:paraId="34903E1C" w14:textId="77777777" w:rsidR="004F2AD8" w:rsidRPr="00996C1F" w:rsidRDefault="004F2AD8">
      <w:pPr>
        <w:ind w:left="681"/>
        <w:rPr>
          <w:lang w:val="nl-NL"/>
        </w:rPr>
      </w:pPr>
    </w:p>
    <w:p w14:paraId="1CAB856D" w14:textId="77777777" w:rsidR="004F2AD8" w:rsidRPr="00996C1F" w:rsidRDefault="004F2AD8">
      <w:pPr>
        <w:numPr>
          <w:ilvl w:val="0"/>
          <w:numId w:val="19"/>
        </w:numPr>
        <w:ind w:left="900" w:hanging="219"/>
        <w:rPr>
          <w:lang w:val="nl-NL"/>
        </w:rPr>
      </w:pPr>
      <w:r w:rsidRPr="00996C1F">
        <w:rPr>
          <w:lang w:val="nl-NL"/>
        </w:rPr>
        <w:t>Glucocorticosteroïden kunnen de opvang en eiwitbinding van jodium verminderen, wat de controle van de therapeutische respons van thyroïd-patiënten die met jodium behandeld worden, kan bemoeilijken.</w:t>
      </w:r>
    </w:p>
    <w:p w14:paraId="7B2A647C" w14:textId="77777777" w:rsidR="004F2AD8" w:rsidRPr="00996C1F" w:rsidRDefault="004F2AD8">
      <w:pPr>
        <w:ind w:left="900" w:hanging="219"/>
        <w:rPr>
          <w:lang w:val="nl-NL"/>
        </w:rPr>
      </w:pPr>
    </w:p>
    <w:p w14:paraId="245DEA9A" w14:textId="77777777" w:rsidR="004F2AD8" w:rsidRPr="00996C1F" w:rsidRDefault="004F2AD8">
      <w:pPr>
        <w:numPr>
          <w:ilvl w:val="0"/>
          <w:numId w:val="19"/>
        </w:numPr>
        <w:ind w:left="900" w:hanging="219"/>
        <w:rPr>
          <w:lang w:val="nl-NL"/>
        </w:rPr>
      </w:pPr>
      <w:r w:rsidRPr="00996C1F">
        <w:rPr>
          <w:lang w:val="nl-NL"/>
        </w:rPr>
        <w:t>Corticosteroïden kunnen de serumspiegel van LDL en HDL doen toenemen, terwijl hun effect op VLDL wisselend is. Deze effecten kunnen van belang zijn in geval van niertransplantatie, vanwege het verhoogde risico op atherosclerose.</w:t>
      </w:r>
    </w:p>
    <w:p w14:paraId="41FDCBAB" w14:textId="77777777" w:rsidR="00372489" w:rsidRPr="00996C1F" w:rsidRDefault="00372489" w:rsidP="00372489">
      <w:pPr>
        <w:pStyle w:val="ListParagraph"/>
        <w:rPr>
          <w:lang w:val="nl-NL"/>
        </w:rPr>
      </w:pPr>
    </w:p>
    <w:p w14:paraId="407B4207" w14:textId="77777777" w:rsidR="00372489" w:rsidRPr="00996C1F" w:rsidRDefault="002E3959" w:rsidP="00B30DF8">
      <w:pPr>
        <w:numPr>
          <w:ilvl w:val="0"/>
          <w:numId w:val="19"/>
        </w:numPr>
        <w:ind w:left="900" w:hanging="219"/>
        <w:rPr>
          <w:lang w:val="nl-NL"/>
        </w:rPr>
      </w:pPr>
      <w:r w:rsidRPr="00996C1F">
        <w:rPr>
          <w:lang w:val="nl-NL"/>
        </w:rPr>
        <w:t xml:space="preserve">Kenacort-A 10 mg/ml mag niet worden toegediend via intramusculaire, intra-oculaire, intrathecale of epidurale weg. Er zijn ernstige medische </w:t>
      </w:r>
      <w:r w:rsidR="00BE643D" w:rsidRPr="00996C1F">
        <w:rPr>
          <w:lang w:val="nl-NL"/>
        </w:rPr>
        <w:t>voorvallen</w:t>
      </w:r>
      <w:r w:rsidRPr="00996C1F">
        <w:rPr>
          <w:lang w:val="nl-NL"/>
        </w:rPr>
        <w:t xml:space="preserve"> waargenomen bij epidurale en intrathecale toediening.</w:t>
      </w:r>
    </w:p>
    <w:p w14:paraId="53A0D764" w14:textId="77777777" w:rsidR="00372489" w:rsidRPr="00996C1F" w:rsidRDefault="00372489" w:rsidP="00B30DF8">
      <w:pPr>
        <w:ind w:left="681"/>
        <w:rPr>
          <w:lang w:val="nl-NL"/>
        </w:rPr>
      </w:pPr>
    </w:p>
    <w:p w14:paraId="5C73F0CB" w14:textId="6EFB34DC" w:rsidR="00372489" w:rsidRPr="00996C1F" w:rsidRDefault="00D57E38" w:rsidP="00B30DF8">
      <w:pPr>
        <w:numPr>
          <w:ilvl w:val="0"/>
          <w:numId w:val="19"/>
        </w:numPr>
        <w:ind w:left="900" w:hanging="219"/>
        <w:rPr>
          <w:lang w:val="nl-NL"/>
        </w:rPr>
      </w:pPr>
      <w:r w:rsidRPr="00996C1F">
        <w:rPr>
          <w:lang w:val="nl-NL"/>
        </w:rPr>
        <w:t>Gevallen van anafylaxie en van ernstige en dodelijke anafylactische shock zijn gemeld bij injectie van triamcinolonacetonide, ongeacht de wijze van toediening</w:t>
      </w:r>
      <w:r w:rsidR="00C026F1">
        <w:rPr>
          <w:lang w:val="nl-NL"/>
        </w:rPr>
        <w:t>.</w:t>
      </w:r>
    </w:p>
    <w:p w14:paraId="66E970F0" w14:textId="77777777" w:rsidR="00372489" w:rsidRPr="00996C1F" w:rsidRDefault="00372489" w:rsidP="00144EA4">
      <w:pPr>
        <w:ind w:left="900"/>
        <w:rPr>
          <w:lang w:val="nl-NL"/>
        </w:rPr>
      </w:pPr>
    </w:p>
    <w:p w14:paraId="249E952F" w14:textId="77777777" w:rsidR="00372489" w:rsidRPr="00996C1F" w:rsidRDefault="00D57E38" w:rsidP="00372489">
      <w:pPr>
        <w:ind w:firstLine="227"/>
        <w:rPr>
          <w:noProof/>
          <w:szCs w:val="22"/>
          <w:u w:val="single"/>
        </w:rPr>
      </w:pPr>
      <w:r w:rsidRPr="00996C1F">
        <w:rPr>
          <w:noProof/>
          <w:szCs w:val="22"/>
          <w:u w:val="single"/>
        </w:rPr>
        <w:t>Pediatrische patiënten</w:t>
      </w:r>
    </w:p>
    <w:p w14:paraId="72CDF86C" w14:textId="77777777" w:rsidR="00372489" w:rsidRPr="00996C1F" w:rsidRDefault="00372489" w:rsidP="00372489">
      <w:pPr>
        <w:ind w:firstLine="227"/>
        <w:rPr>
          <w:noProof/>
          <w:szCs w:val="22"/>
          <w:u w:val="single"/>
        </w:rPr>
      </w:pPr>
    </w:p>
    <w:p w14:paraId="62C04AF5" w14:textId="77777777" w:rsidR="00372489" w:rsidRPr="00996C1F" w:rsidRDefault="00982AAB" w:rsidP="00372489">
      <w:pPr>
        <w:numPr>
          <w:ilvl w:val="0"/>
          <w:numId w:val="12"/>
        </w:numPr>
        <w:ind w:left="1041"/>
        <w:rPr>
          <w:lang w:val="nl-NL"/>
        </w:rPr>
      </w:pPr>
      <w:r w:rsidRPr="00996C1F">
        <w:rPr>
          <w:lang w:val="nl-NL"/>
        </w:rPr>
        <w:t xml:space="preserve">De ontwikkeling en de groei van </w:t>
      </w:r>
      <w:r w:rsidRPr="00996C1F">
        <w:rPr>
          <w:u w:val="single"/>
          <w:lang w:val="nl-NL"/>
        </w:rPr>
        <w:t>kinderen</w:t>
      </w:r>
      <w:r w:rsidRPr="00996C1F">
        <w:rPr>
          <w:lang w:val="nl-NL"/>
        </w:rPr>
        <w:t xml:space="preserve"> die een langdurige behandeling met corticosteroïden volgen, moeten nauwlettend gevolgd worden. </w:t>
      </w:r>
      <w:r w:rsidR="00D57E38" w:rsidRPr="00996C1F">
        <w:rPr>
          <w:lang w:val="nl-NL"/>
        </w:rPr>
        <w:t>Om deze reden wordt dit medicijn niet aanbevolen voor kinderen onder de 6 jaar.</w:t>
      </w:r>
    </w:p>
    <w:p w14:paraId="06087F6F" w14:textId="77777777" w:rsidR="0016787A" w:rsidRDefault="0016787A" w:rsidP="0016787A">
      <w:pPr>
        <w:pStyle w:val="ListParagraph"/>
        <w:numPr>
          <w:ilvl w:val="0"/>
          <w:numId w:val="12"/>
        </w:numPr>
        <w:ind w:left="1041"/>
        <w:contextualSpacing/>
        <w:rPr>
          <w:lang w:val="nl-BE"/>
        </w:rPr>
      </w:pPr>
      <w:r w:rsidRPr="0016787A">
        <w:rPr>
          <w:lang w:val="nl-BE"/>
        </w:rPr>
        <w:t xml:space="preserve">Kenacort-A 10 mg/ml bevat benzylalcohol.  </w:t>
      </w:r>
      <w:bookmarkStart w:id="0" w:name="_Hlk54616451"/>
      <w:r w:rsidRPr="00106231">
        <w:rPr>
          <w:lang w:val="nl-BE"/>
        </w:rPr>
        <w:t>Benzylalcohol is in verband gebracht met het risico op ernstige bijwerkingen, waaronder ademhalingsproblemen (zogenoemd ‘gasping’- syndroom) bij jonge kinderen. Niet toedienen aan uw pasgeboren baby (jonger dan 4 weken)</w:t>
      </w:r>
      <w:r>
        <w:rPr>
          <w:lang w:val="nl-BE"/>
        </w:rPr>
        <w:t>.</w:t>
      </w:r>
      <w:r w:rsidRPr="00106231">
        <w:rPr>
          <w:lang w:val="nl-BE"/>
        </w:rPr>
        <w:t xml:space="preserve"> Niet langer dan een week gebruiken bij jonge kinderen (jonger dan 3 jaar)</w:t>
      </w:r>
      <w:r>
        <w:rPr>
          <w:lang w:val="nl-BE"/>
        </w:rPr>
        <w:t>.</w:t>
      </w:r>
      <w:r w:rsidRPr="00106231">
        <w:rPr>
          <w:lang w:val="nl-BE"/>
        </w:rPr>
        <w:t xml:space="preserve"> </w:t>
      </w:r>
    </w:p>
    <w:p w14:paraId="0F0D846B" w14:textId="77777777" w:rsidR="0016787A" w:rsidRDefault="0016787A" w:rsidP="0016787A">
      <w:pPr>
        <w:ind w:left="238"/>
        <w:contextualSpacing/>
        <w:rPr>
          <w:lang w:val="nl-BE"/>
        </w:rPr>
      </w:pPr>
    </w:p>
    <w:p w14:paraId="149DAE1A" w14:textId="77777777" w:rsidR="0016787A" w:rsidRPr="0016787A" w:rsidRDefault="0016787A" w:rsidP="0016787A">
      <w:pPr>
        <w:ind w:left="238"/>
        <w:contextualSpacing/>
        <w:rPr>
          <w:lang w:val="nl-BE"/>
        </w:rPr>
      </w:pPr>
      <w:r w:rsidRPr="0016787A">
        <w:rPr>
          <w:lang w:val="nl-BE"/>
        </w:rPr>
        <w:t xml:space="preserve">Kenacort-A 10 mg/ml </w:t>
      </w:r>
      <w:bookmarkEnd w:id="0"/>
      <w:r w:rsidRPr="0016787A">
        <w:rPr>
          <w:lang w:val="nl-BE"/>
        </w:rPr>
        <w:t>bevat minder dan 1 mmol (23 mg) natrium per 100 ml. Dat wil zeggen dat het in wezen “natriumvrij” is.</w:t>
      </w:r>
    </w:p>
    <w:p w14:paraId="002CDBE3" w14:textId="77777777" w:rsidR="004F2AD8" w:rsidRPr="00EE4058" w:rsidRDefault="004F2AD8">
      <w:pPr>
        <w:ind w:left="227"/>
        <w:rPr>
          <w:lang w:val="nl-BE"/>
        </w:rPr>
      </w:pPr>
    </w:p>
    <w:p w14:paraId="53FC4F08" w14:textId="77777777" w:rsidR="004F2AD8" w:rsidRPr="00017F88" w:rsidRDefault="004F2AD8">
      <w:pPr>
        <w:pStyle w:val="Heading3"/>
        <w:ind w:left="227" w:firstLine="11"/>
        <w:rPr>
          <w:b/>
          <w:u w:val="none"/>
          <w:lang w:val="nl-NL"/>
        </w:rPr>
      </w:pPr>
      <w:r w:rsidRPr="00017F88">
        <w:rPr>
          <w:b/>
          <w:u w:val="none"/>
          <w:lang w:val="nl-NL"/>
        </w:rPr>
        <w:t>4.5</w:t>
      </w:r>
      <w:r w:rsidRPr="00017F88">
        <w:rPr>
          <w:b/>
          <w:u w:val="none"/>
          <w:lang w:val="nl-NL"/>
        </w:rPr>
        <w:tab/>
        <w:t>Interacties met andere geneesmiddelen en andere vormen van interactie</w:t>
      </w:r>
    </w:p>
    <w:p w14:paraId="1170CF43" w14:textId="77777777" w:rsidR="007519A0" w:rsidRDefault="007519A0" w:rsidP="007519A0">
      <w:pPr>
        <w:ind w:left="681"/>
        <w:rPr>
          <w:lang w:val="nl-NL"/>
        </w:rPr>
      </w:pPr>
    </w:p>
    <w:p w14:paraId="2FCBE7AD" w14:textId="77777777" w:rsidR="007519A0" w:rsidRPr="00017F88" w:rsidRDefault="007519A0" w:rsidP="007519A0">
      <w:pPr>
        <w:ind w:left="709"/>
        <w:rPr>
          <w:u w:val="single"/>
          <w:lang w:val="nl-NL"/>
        </w:rPr>
      </w:pPr>
      <w:r w:rsidRPr="00017F88">
        <w:rPr>
          <w:u w:val="single"/>
          <w:lang w:val="nl-NL"/>
        </w:rPr>
        <w:t>Effect van andere geneesmiddelen op triamcinolonacetonide:</w:t>
      </w:r>
    </w:p>
    <w:p w14:paraId="3C83A360" w14:textId="77777777" w:rsidR="007519A0" w:rsidRDefault="007519A0" w:rsidP="007519A0">
      <w:pPr>
        <w:ind w:left="681"/>
        <w:rPr>
          <w:lang w:val="nl-NL"/>
        </w:rPr>
      </w:pPr>
    </w:p>
    <w:p w14:paraId="211F7750" w14:textId="77777777" w:rsidR="007519A0" w:rsidRPr="000135B0" w:rsidRDefault="007519A0" w:rsidP="00B30DF8">
      <w:pPr>
        <w:pStyle w:val="ListParagraph"/>
        <w:numPr>
          <w:ilvl w:val="0"/>
          <w:numId w:val="22"/>
        </w:numPr>
        <w:shd w:val="clear" w:color="auto" w:fill="FFFFFF"/>
        <w:ind w:left="720" w:hanging="450"/>
        <w:contextualSpacing/>
        <w:rPr>
          <w:lang w:val="nl-NL"/>
        </w:rPr>
      </w:pPr>
      <w:r w:rsidRPr="00F10883">
        <w:rPr>
          <w:b/>
          <w:i/>
          <w:lang w:val="nl-NL"/>
        </w:rPr>
        <w:t xml:space="preserve">CYP 3A4 remmers: </w:t>
      </w:r>
      <w:r w:rsidRPr="00F10883">
        <w:rPr>
          <w:lang w:val="nl-NL"/>
        </w:rPr>
        <w:t>Triamcinolonacetonide is een substraat van CYP3A4. Voorzichtigheid is geboden bij de gelijktijdige toediening van sterke CYP3A4 remmers (</w:t>
      </w:r>
      <w:r>
        <w:rPr>
          <w:lang w:val="nl-NL"/>
        </w:rPr>
        <w:t xml:space="preserve">bijv. </w:t>
      </w:r>
      <w:r w:rsidRPr="00F10883">
        <w:rPr>
          <w:lang w:val="nl-NL"/>
        </w:rPr>
        <w:t>clarithromycine, telitromycine</w:t>
      </w:r>
      <w:r>
        <w:rPr>
          <w:lang w:val="nl-NL"/>
        </w:rPr>
        <w:t>,</w:t>
      </w:r>
      <w:r w:rsidRPr="00F10883">
        <w:rPr>
          <w:lang w:val="nl-NL"/>
        </w:rPr>
        <w:t xml:space="preserve"> itraconazol, ketoconazol,</w:t>
      </w:r>
      <w:r>
        <w:rPr>
          <w:lang w:val="nl-NL"/>
        </w:rPr>
        <w:t xml:space="preserve"> HIV-protease remmers zoals ritonavir</w:t>
      </w:r>
      <w:r w:rsidRPr="00F10883">
        <w:rPr>
          <w:lang w:val="nl-NL"/>
        </w:rPr>
        <w:t>) met Kenacort</w:t>
      </w:r>
      <w:r w:rsidR="00F336EC">
        <w:rPr>
          <w:lang w:val="nl-NL"/>
        </w:rPr>
        <w:t>-</w:t>
      </w:r>
      <w:r w:rsidRPr="00F10883">
        <w:rPr>
          <w:lang w:val="nl-NL"/>
        </w:rPr>
        <w:t>A</w:t>
      </w:r>
      <w:r w:rsidR="00F336EC">
        <w:rPr>
          <w:lang w:val="nl-NL"/>
        </w:rPr>
        <w:t xml:space="preserve"> </w:t>
      </w:r>
      <w:r w:rsidRPr="00F10883">
        <w:rPr>
          <w:lang w:val="nl-NL"/>
        </w:rPr>
        <w:t>10</w:t>
      </w:r>
      <w:r w:rsidR="00F336EC">
        <w:rPr>
          <w:lang w:val="nl-NL"/>
        </w:rPr>
        <w:t xml:space="preserve"> mg/ml</w:t>
      </w:r>
      <w:r w:rsidRPr="00F10883">
        <w:rPr>
          <w:lang w:val="nl-NL"/>
        </w:rPr>
        <w:t xml:space="preserve"> omdat verhoogde ongewenste systematische corticosteroïde effecten kunnen voorkomen (zie </w:t>
      </w:r>
      <w:r>
        <w:rPr>
          <w:lang w:val="nl-NL"/>
        </w:rPr>
        <w:t xml:space="preserve">rubriek </w:t>
      </w:r>
      <w:r w:rsidRPr="00F10883">
        <w:rPr>
          <w:lang w:val="nl-NL"/>
        </w:rPr>
        <w:t xml:space="preserve">4.8). Tijdens </w:t>
      </w:r>
      <w:r w:rsidRPr="00F10883">
        <w:rPr>
          <w:lang w:val="nl-NL"/>
        </w:rPr>
        <w:lastRenderedPageBreak/>
        <w:t xml:space="preserve">postmarketing-gebruik zijn er klinisch significante geneesmiddelinteracties gemeld bij patiënten die triamcinolonacetonide en ritonavir ontvingen, die leiden tot systematische corticosteroïde effecten inclusief het Cushingsyndroom en adrenale suppressie. (zie </w:t>
      </w:r>
      <w:r>
        <w:rPr>
          <w:lang w:val="nl-NL"/>
        </w:rPr>
        <w:t xml:space="preserve">rubriek </w:t>
      </w:r>
      <w:r w:rsidRPr="00F10883">
        <w:rPr>
          <w:lang w:val="nl-NL"/>
        </w:rPr>
        <w:t>4.4).</w:t>
      </w:r>
    </w:p>
    <w:p w14:paraId="4F30FEF2" w14:textId="77777777" w:rsidR="007519A0" w:rsidRDefault="007519A0" w:rsidP="007519A0">
      <w:pPr>
        <w:shd w:val="clear" w:color="auto" w:fill="FFFFFF"/>
        <w:tabs>
          <w:tab w:val="left" w:pos="-1094"/>
          <w:tab w:val="left" w:pos="-720"/>
          <w:tab w:val="left" w:pos="0"/>
          <w:tab w:val="left" w:pos="993"/>
          <w:tab w:val="left" w:pos="1440"/>
          <w:tab w:val="left" w:pos="2160"/>
          <w:tab w:val="left" w:pos="2880"/>
          <w:tab w:val="left" w:pos="3600"/>
          <w:tab w:val="left" w:pos="4228"/>
          <w:tab w:val="left" w:pos="5040"/>
        </w:tabs>
        <w:ind w:left="900" w:hanging="219"/>
        <w:rPr>
          <w:i/>
          <w:lang w:val="nl-NL"/>
        </w:rPr>
      </w:pPr>
    </w:p>
    <w:p w14:paraId="25B15D50" w14:textId="77777777" w:rsidR="007519A0" w:rsidRDefault="007519A0" w:rsidP="00B30DF8">
      <w:pPr>
        <w:shd w:val="clear" w:color="auto" w:fill="FFFFFF"/>
        <w:tabs>
          <w:tab w:val="left" w:pos="-1094"/>
          <w:tab w:val="left" w:pos="-720"/>
          <w:tab w:val="left" w:pos="0"/>
          <w:tab w:val="left" w:pos="993"/>
          <w:tab w:val="left" w:pos="1440"/>
          <w:tab w:val="left" w:pos="2160"/>
          <w:tab w:val="left" w:pos="2880"/>
          <w:tab w:val="left" w:pos="3600"/>
          <w:tab w:val="left" w:pos="4228"/>
          <w:tab w:val="left" w:pos="5040"/>
        </w:tabs>
        <w:ind w:left="673" w:hanging="219"/>
        <w:rPr>
          <w:lang w:val="nl-NL"/>
        </w:rPr>
      </w:pPr>
      <w:r>
        <w:rPr>
          <w:i/>
          <w:lang w:val="nl-NL"/>
        </w:rPr>
        <w:t xml:space="preserve">-  </w:t>
      </w:r>
      <w:r>
        <w:rPr>
          <w:b/>
          <w:i/>
          <w:lang w:val="nl-NL"/>
        </w:rPr>
        <w:t xml:space="preserve">Oestrogenen, met inbegrip van orale contraceptiva </w:t>
      </w:r>
      <w:r>
        <w:rPr>
          <w:lang w:val="nl-NL"/>
        </w:rPr>
        <w:t>: mogelijke verhoging van de halfwaardetijd en van de concentratie corticosteroïden, evenals mogelijke daling van de klaring ervan.</w:t>
      </w:r>
    </w:p>
    <w:p w14:paraId="20557FE9" w14:textId="77777777" w:rsidR="007519A0" w:rsidRDefault="007519A0" w:rsidP="00B30DF8">
      <w:pPr>
        <w:shd w:val="clear" w:color="auto" w:fill="FFFFFF"/>
        <w:tabs>
          <w:tab w:val="left" w:pos="-1094"/>
          <w:tab w:val="left" w:pos="-720"/>
          <w:tab w:val="left" w:pos="0"/>
          <w:tab w:val="left" w:pos="720"/>
          <w:tab w:val="left" w:pos="1440"/>
          <w:tab w:val="left" w:pos="2160"/>
          <w:tab w:val="left" w:pos="2880"/>
          <w:tab w:val="left" w:pos="3600"/>
          <w:tab w:val="left" w:pos="4228"/>
          <w:tab w:val="left" w:pos="5040"/>
        </w:tabs>
        <w:ind w:left="673" w:hanging="219"/>
        <w:rPr>
          <w:lang w:val="nl-NL"/>
        </w:rPr>
      </w:pPr>
    </w:p>
    <w:p w14:paraId="0B18C9D1" w14:textId="77777777" w:rsidR="007519A0" w:rsidRDefault="007519A0" w:rsidP="00B30DF8">
      <w:pPr>
        <w:shd w:val="clear" w:color="auto" w:fill="FFFFFF"/>
        <w:tabs>
          <w:tab w:val="left" w:pos="-1094"/>
          <w:tab w:val="left" w:pos="-720"/>
          <w:tab w:val="left" w:pos="0"/>
          <w:tab w:val="left" w:pos="993"/>
          <w:tab w:val="left" w:pos="1440"/>
          <w:tab w:val="left" w:pos="2160"/>
          <w:tab w:val="left" w:pos="2880"/>
          <w:tab w:val="left" w:pos="3600"/>
          <w:tab w:val="left" w:pos="4228"/>
          <w:tab w:val="left" w:pos="5040"/>
        </w:tabs>
        <w:ind w:left="673" w:hanging="219"/>
        <w:rPr>
          <w:lang w:val="nl-NL"/>
        </w:rPr>
      </w:pPr>
      <w:r>
        <w:rPr>
          <w:i/>
          <w:lang w:val="nl-NL"/>
        </w:rPr>
        <w:t xml:space="preserve">-   </w:t>
      </w:r>
      <w:r>
        <w:rPr>
          <w:b/>
          <w:i/>
          <w:lang w:val="nl-NL"/>
        </w:rPr>
        <w:t>Leverenzyminductoren</w:t>
      </w:r>
      <w:r>
        <w:rPr>
          <w:i/>
          <w:lang w:val="nl-NL"/>
        </w:rPr>
        <w:t xml:space="preserve"> (bijv. barbituraten, fenytoïne, carbamazepine, rifampicine): </w:t>
      </w:r>
      <w:r>
        <w:rPr>
          <w:lang w:val="nl-NL"/>
        </w:rPr>
        <w:t>mogelijke verhoogde metabole klaring van Kenacort-A 10 mg/ml. Nauwlettend toezicht van de patiënt is nodig om een mogelijke daling van het effect van de corticosteroïden op te sporen en de dosis Kenacort-A 10 mg/ml overeenkomstig aan te passen.</w:t>
      </w:r>
    </w:p>
    <w:p w14:paraId="510304EE" w14:textId="77777777" w:rsidR="007519A0" w:rsidRDefault="007519A0" w:rsidP="00B30DF8">
      <w:pPr>
        <w:shd w:val="clear" w:color="auto" w:fill="FFFFFF"/>
        <w:tabs>
          <w:tab w:val="left" w:pos="-1094"/>
          <w:tab w:val="left" w:pos="-720"/>
          <w:tab w:val="left" w:pos="0"/>
          <w:tab w:val="left" w:pos="993"/>
          <w:tab w:val="left" w:pos="1440"/>
          <w:tab w:val="left" w:pos="2160"/>
          <w:tab w:val="left" w:pos="2880"/>
          <w:tab w:val="left" w:pos="3600"/>
          <w:tab w:val="left" w:pos="4228"/>
          <w:tab w:val="left" w:pos="5040"/>
        </w:tabs>
        <w:ind w:left="673" w:hanging="219"/>
        <w:rPr>
          <w:lang w:val="nl-NL"/>
        </w:rPr>
      </w:pPr>
    </w:p>
    <w:p w14:paraId="7BE10C87" w14:textId="77777777" w:rsidR="007519A0" w:rsidRDefault="007519A0" w:rsidP="00B30DF8">
      <w:pPr>
        <w:numPr>
          <w:ilvl w:val="0"/>
          <w:numId w:val="19"/>
        </w:numPr>
        <w:shd w:val="clear" w:color="auto" w:fill="FFFFFF"/>
        <w:ind w:left="673" w:hanging="219"/>
        <w:rPr>
          <w:lang w:val="nl-NL"/>
        </w:rPr>
      </w:pPr>
      <w:r>
        <w:rPr>
          <w:b/>
          <w:i/>
          <w:lang w:val="nl-NL"/>
        </w:rPr>
        <w:t xml:space="preserve">Thyroïdgeneesmiddelen </w:t>
      </w:r>
      <w:r>
        <w:rPr>
          <w:lang w:val="nl-NL"/>
        </w:rPr>
        <w:t xml:space="preserve">: de metabole klaring van adrenocorticosteroïden daalt in geval van hypothyroïdie en verhoogt in geval van hyperthyroïdie. De wijzigingen van de schildkliertoestand kunnen een aanpassing van de dosis adrenocorticosteroïden vereisen. </w:t>
      </w:r>
    </w:p>
    <w:p w14:paraId="03AA90BB" w14:textId="77777777" w:rsidR="007519A0" w:rsidRPr="000135B0" w:rsidRDefault="007519A0" w:rsidP="00B30DF8">
      <w:pPr>
        <w:pStyle w:val="spacing1"/>
        <w:shd w:val="clear" w:color="auto" w:fill="FFFFFF"/>
        <w:ind w:left="814"/>
        <w:rPr>
          <w:rFonts w:ascii="Arial" w:hAnsi="Arial" w:cs="Arial"/>
          <w:lang w:val="nl-NL"/>
        </w:rPr>
      </w:pPr>
    </w:p>
    <w:p w14:paraId="417F08CF" w14:textId="77777777" w:rsidR="007519A0" w:rsidRDefault="007519A0" w:rsidP="00AA5893">
      <w:pPr>
        <w:pStyle w:val="ListParagraph"/>
        <w:numPr>
          <w:ilvl w:val="0"/>
          <w:numId w:val="22"/>
        </w:numPr>
        <w:shd w:val="clear" w:color="auto" w:fill="FFFFFF"/>
        <w:ind w:left="720" w:hanging="266"/>
        <w:contextualSpacing/>
        <w:rPr>
          <w:lang w:val="nl-NL"/>
        </w:rPr>
      </w:pPr>
      <w:r>
        <w:rPr>
          <w:b/>
          <w:i/>
          <w:lang w:val="nl-NL"/>
        </w:rPr>
        <w:t>Methotrexaat</w:t>
      </w:r>
      <w:r w:rsidRPr="000135B0">
        <w:rPr>
          <w:lang w:val="nl-NL"/>
        </w:rPr>
        <w:t>: Door de synergetische werking van methotrexaat, kan met een lagere d</w:t>
      </w:r>
      <w:r>
        <w:rPr>
          <w:lang w:val="nl-NL"/>
        </w:rPr>
        <w:t>osis corticosteroïden volstaan.</w:t>
      </w:r>
    </w:p>
    <w:p w14:paraId="4181D3DA" w14:textId="77777777" w:rsidR="007519A0" w:rsidRDefault="007519A0" w:rsidP="007519A0">
      <w:pPr>
        <w:shd w:val="clear" w:color="auto" w:fill="FFFFFF"/>
        <w:tabs>
          <w:tab w:val="left" w:pos="-1094"/>
          <w:tab w:val="left" w:pos="-720"/>
          <w:tab w:val="left" w:pos="0"/>
          <w:tab w:val="left" w:pos="720"/>
          <w:tab w:val="left" w:pos="1440"/>
          <w:tab w:val="left" w:pos="2160"/>
          <w:tab w:val="left" w:pos="2880"/>
          <w:tab w:val="left" w:pos="3600"/>
          <w:tab w:val="left" w:pos="4228"/>
          <w:tab w:val="left" w:pos="5040"/>
        </w:tabs>
        <w:ind w:left="681"/>
        <w:rPr>
          <w:lang w:val="nl-NL"/>
        </w:rPr>
      </w:pPr>
    </w:p>
    <w:p w14:paraId="2CA92631" w14:textId="77777777" w:rsidR="007519A0" w:rsidRDefault="007519A0" w:rsidP="007519A0">
      <w:pPr>
        <w:shd w:val="clear" w:color="auto" w:fill="FFFFFF"/>
        <w:tabs>
          <w:tab w:val="left" w:pos="-1094"/>
          <w:tab w:val="left" w:pos="-720"/>
          <w:tab w:val="left" w:pos="0"/>
          <w:tab w:val="left" w:pos="720"/>
          <w:tab w:val="left" w:pos="1440"/>
          <w:tab w:val="left" w:pos="2160"/>
          <w:tab w:val="left" w:pos="2880"/>
          <w:tab w:val="left" w:pos="3600"/>
          <w:tab w:val="left" w:pos="4228"/>
          <w:tab w:val="left" w:pos="5040"/>
        </w:tabs>
        <w:ind w:left="681"/>
        <w:rPr>
          <w:lang w:val="nl-NL"/>
        </w:rPr>
      </w:pPr>
    </w:p>
    <w:p w14:paraId="702AF107" w14:textId="77777777" w:rsidR="007519A0" w:rsidRPr="00017F88" w:rsidRDefault="007519A0" w:rsidP="007519A0">
      <w:pPr>
        <w:shd w:val="clear" w:color="auto" w:fill="FFFFFF"/>
        <w:ind w:left="681"/>
        <w:rPr>
          <w:u w:val="single"/>
          <w:lang w:val="nl-NL"/>
        </w:rPr>
      </w:pPr>
      <w:r w:rsidRPr="00017F88">
        <w:rPr>
          <w:u w:val="single"/>
          <w:lang w:val="nl-NL"/>
        </w:rPr>
        <w:t>Effect van triamcinolonacetonide op andere geneesmiddelen:</w:t>
      </w:r>
    </w:p>
    <w:p w14:paraId="3A6D8178" w14:textId="77777777" w:rsidR="007519A0" w:rsidRDefault="007519A0" w:rsidP="007519A0">
      <w:pPr>
        <w:shd w:val="clear" w:color="auto" w:fill="FFFFFF"/>
        <w:ind w:left="681"/>
        <w:rPr>
          <w:lang w:val="nl-NL"/>
        </w:rPr>
      </w:pPr>
    </w:p>
    <w:p w14:paraId="160CB00A" w14:textId="77777777" w:rsidR="007519A0" w:rsidRDefault="007519A0" w:rsidP="00B30DF8">
      <w:pPr>
        <w:numPr>
          <w:ilvl w:val="0"/>
          <w:numId w:val="22"/>
        </w:numPr>
        <w:shd w:val="clear" w:color="auto" w:fill="FFFFFF"/>
        <w:ind w:left="673" w:hanging="219"/>
        <w:rPr>
          <w:lang w:val="nl-NL"/>
        </w:rPr>
      </w:pPr>
      <w:r>
        <w:rPr>
          <w:b/>
          <w:i/>
          <w:lang w:val="nl-NL"/>
        </w:rPr>
        <w:t>Ciclosporine</w:t>
      </w:r>
      <w:r>
        <w:rPr>
          <w:lang w:val="nl-NL"/>
        </w:rPr>
        <w:t xml:space="preserve"> : toezicht nodig teneinde een verhoogde toxiciteit van ciclosporine op te sporen in geval van gelijktijdig gebruik van beide geneesmiddelen.</w:t>
      </w:r>
      <w:r w:rsidRPr="00B26E06">
        <w:rPr>
          <w:lang w:val="nl-NL"/>
        </w:rPr>
        <w:t xml:space="preserve"> </w:t>
      </w:r>
    </w:p>
    <w:p w14:paraId="7FCA2222" w14:textId="5FDEDFA5" w:rsidR="007519A0" w:rsidRDefault="007519A0" w:rsidP="00B30DF8">
      <w:pPr>
        <w:shd w:val="clear" w:color="auto" w:fill="FFFFFF"/>
        <w:ind w:left="673"/>
        <w:rPr>
          <w:lang w:val="nl-NL"/>
        </w:rPr>
      </w:pPr>
      <w:r w:rsidRPr="000135B0">
        <w:rPr>
          <w:lang w:val="nl-NL"/>
        </w:rPr>
        <w:t>Bij gelijktijdige toediening van het dikaliumzout van 21-fosfaat triamcinolonacetonide en c</w:t>
      </w:r>
      <w:r w:rsidR="007F0CFA">
        <w:rPr>
          <w:lang w:val="nl-NL"/>
        </w:rPr>
        <w:t>i</w:t>
      </w:r>
      <w:r w:rsidRPr="000135B0">
        <w:rPr>
          <w:lang w:val="nl-NL"/>
        </w:rPr>
        <w:t>closporine wordt het metabolisme van elk werkzaam bestanddeel geremd. Hierdoor kunnen de bijwerkingen van iedere stof worden versterkt. Stuiptrekkingen zijn waargenomen.</w:t>
      </w:r>
    </w:p>
    <w:p w14:paraId="088C5C87" w14:textId="77777777" w:rsidR="007519A0" w:rsidRDefault="007519A0" w:rsidP="00B30DF8">
      <w:pPr>
        <w:shd w:val="clear" w:color="auto" w:fill="FFFFFF"/>
        <w:ind w:left="454"/>
        <w:rPr>
          <w:lang w:val="nl-NL"/>
        </w:rPr>
      </w:pPr>
    </w:p>
    <w:p w14:paraId="0BC6695C" w14:textId="77777777" w:rsidR="007519A0" w:rsidRDefault="007519A0" w:rsidP="00B30DF8">
      <w:pPr>
        <w:pStyle w:val="Header"/>
        <w:shd w:val="clear" w:color="auto" w:fill="FFFFFF"/>
        <w:tabs>
          <w:tab w:val="clear" w:pos="9072"/>
          <w:tab w:val="left" w:pos="-1094"/>
          <w:tab w:val="left" w:pos="-720"/>
          <w:tab w:val="left" w:pos="993"/>
          <w:tab w:val="left" w:pos="1440"/>
          <w:tab w:val="left" w:pos="2160"/>
          <w:tab w:val="left" w:pos="2880"/>
          <w:tab w:val="left" w:pos="3600"/>
          <w:tab w:val="left" w:pos="4228"/>
          <w:tab w:val="left" w:pos="5040"/>
        </w:tabs>
        <w:ind w:left="766" w:hanging="993"/>
        <w:rPr>
          <w:lang w:val="nl-NL"/>
        </w:rPr>
      </w:pPr>
      <w:r>
        <w:rPr>
          <w:lang w:val="nl-NL"/>
        </w:rPr>
        <w:t xml:space="preserve">            </w:t>
      </w:r>
      <w:r>
        <w:rPr>
          <w:i/>
          <w:lang w:val="nl-NL"/>
        </w:rPr>
        <w:t xml:space="preserve">-   </w:t>
      </w:r>
      <w:r>
        <w:rPr>
          <w:b/>
          <w:i/>
          <w:lang w:val="nl-NL"/>
        </w:rPr>
        <w:t xml:space="preserve">Vaccins </w:t>
      </w:r>
      <w:r>
        <w:rPr>
          <w:lang w:val="nl-NL"/>
        </w:rPr>
        <w:t>: neurologische verwikkelingen en het ontbreken van de productie van antistoffen kunnen voorkomen bij de vaccinatie van patiënten die corticosteroïden krijgen (zie rubriek 4.3 en rubriek 4.4).</w:t>
      </w:r>
    </w:p>
    <w:p w14:paraId="55C49861" w14:textId="77777777" w:rsidR="007519A0" w:rsidRDefault="007519A0" w:rsidP="00B30DF8">
      <w:pPr>
        <w:ind w:left="454"/>
        <w:rPr>
          <w:lang w:val="nl-NL"/>
        </w:rPr>
      </w:pPr>
    </w:p>
    <w:p w14:paraId="7216B6A6" w14:textId="77777777" w:rsidR="007519A0" w:rsidRDefault="007519A0" w:rsidP="000C1989">
      <w:pPr>
        <w:numPr>
          <w:ilvl w:val="0"/>
          <w:numId w:val="20"/>
        </w:numPr>
        <w:ind w:left="810" w:hanging="270"/>
        <w:rPr>
          <w:lang w:val="nl-NL"/>
        </w:rPr>
      </w:pPr>
      <w:r>
        <w:rPr>
          <w:b/>
          <w:i/>
          <w:lang w:val="nl-NL"/>
        </w:rPr>
        <w:t>Amfotericine B voor injectie</w:t>
      </w:r>
      <w:r w:rsidRPr="008069D9">
        <w:rPr>
          <w:b/>
          <w:i/>
          <w:lang w:val="nl-NL"/>
        </w:rPr>
        <w:t xml:space="preserve"> en </w:t>
      </w:r>
      <w:r>
        <w:rPr>
          <w:b/>
          <w:i/>
          <w:lang w:val="nl-NL"/>
        </w:rPr>
        <w:t>geneesmiddelen die kaliumdepletie veroorzaken</w:t>
      </w:r>
      <w:r>
        <w:rPr>
          <w:lang w:val="nl-NL"/>
        </w:rPr>
        <w:t xml:space="preserve"> (zoals thiaziden of furosemide): men moet bedacht zijn op het optreden van hypokaliëmie (zie rubriek 4.4).</w:t>
      </w:r>
    </w:p>
    <w:p w14:paraId="6C69F058" w14:textId="77777777" w:rsidR="007519A0" w:rsidRDefault="007519A0" w:rsidP="00B30DF8">
      <w:pPr>
        <w:tabs>
          <w:tab w:val="left" w:pos="-1094"/>
          <w:tab w:val="left" w:pos="-720"/>
          <w:tab w:val="left" w:pos="0"/>
          <w:tab w:val="left" w:pos="720"/>
          <w:tab w:val="left" w:pos="1440"/>
          <w:tab w:val="left" w:pos="2160"/>
          <w:tab w:val="left" w:pos="2880"/>
          <w:tab w:val="left" w:pos="3600"/>
          <w:tab w:val="left" w:pos="4228"/>
          <w:tab w:val="left" w:pos="5040"/>
        </w:tabs>
        <w:ind w:left="892" w:hanging="219"/>
        <w:rPr>
          <w:lang w:val="nl-NL"/>
        </w:rPr>
      </w:pPr>
    </w:p>
    <w:p w14:paraId="37364B7E" w14:textId="77777777" w:rsidR="007519A0" w:rsidRPr="000135B0" w:rsidRDefault="007519A0" w:rsidP="000C1989">
      <w:pPr>
        <w:tabs>
          <w:tab w:val="left" w:pos="-1094"/>
          <w:tab w:val="left" w:pos="-720"/>
          <w:tab w:val="left" w:pos="0"/>
          <w:tab w:val="left" w:pos="4228"/>
          <w:tab w:val="left" w:pos="5040"/>
        </w:tabs>
        <w:ind w:left="759" w:hanging="219"/>
        <w:rPr>
          <w:lang w:val="nl-NL"/>
        </w:rPr>
      </w:pPr>
      <w:r w:rsidRPr="000135B0">
        <w:rPr>
          <w:lang w:val="nl-NL"/>
        </w:rPr>
        <w:t>-</w:t>
      </w:r>
      <w:r w:rsidRPr="000135B0">
        <w:rPr>
          <w:lang w:val="nl-NL"/>
        </w:rPr>
        <w:tab/>
        <w:t xml:space="preserve">Het effect van </w:t>
      </w:r>
      <w:r w:rsidRPr="000135B0">
        <w:rPr>
          <w:b/>
          <w:i/>
          <w:lang w:val="nl-NL"/>
        </w:rPr>
        <w:t>antimuscarinemiddelen</w:t>
      </w:r>
      <w:r w:rsidRPr="000135B0">
        <w:rPr>
          <w:lang w:val="nl-NL"/>
        </w:rPr>
        <w:t xml:space="preserve"> bij myasthenia gravis kan verminderd zijn.</w:t>
      </w:r>
    </w:p>
    <w:p w14:paraId="38FAED6D" w14:textId="77777777" w:rsidR="007519A0" w:rsidRPr="000135B0" w:rsidRDefault="007519A0" w:rsidP="00B30DF8">
      <w:pPr>
        <w:ind w:left="892" w:hanging="219"/>
        <w:rPr>
          <w:lang w:val="nl-NL"/>
        </w:rPr>
      </w:pPr>
    </w:p>
    <w:p w14:paraId="0D734179" w14:textId="77777777" w:rsidR="007519A0" w:rsidRPr="000135B0" w:rsidRDefault="007519A0" w:rsidP="000C1989">
      <w:pPr>
        <w:numPr>
          <w:ilvl w:val="0"/>
          <w:numId w:val="21"/>
        </w:numPr>
        <w:ind w:left="720" w:hanging="180"/>
        <w:rPr>
          <w:lang w:val="nl-NL"/>
        </w:rPr>
      </w:pPr>
      <w:r w:rsidRPr="000135B0">
        <w:rPr>
          <w:b/>
          <w:i/>
          <w:lang w:val="nl-NL"/>
        </w:rPr>
        <w:t xml:space="preserve">Cholinesteraseremmers </w:t>
      </w:r>
      <w:r w:rsidRPr="000135B0">
        <w:rPr>
          <w:lang w:val="nl-NL"/>
        </w:rPr>
        <w:t>: mogelijk antagonisme van de cholinesteraseremmer</w:t>
      </w:r>
      <w:r>
        <w:rPr>
          <w:lang w:val="nl-NL"/>
        </w:rPr>
        <w:t xml:space="preserve"> (zie rubriek 4.4)</w:t>
      </w:r>
      <w:r w:rsidRPr="000135B0">
        <w:rPr>
          <w:lang w:val="nl-NL"/>
        </w:rPr>
        <w:t>.</w:t>
      </w:r>
    </w:p>
    <w:p w14:paraId="19A36E64" w14:textId="77777777" w:rsidR="007519A0" w:rsidRDefault="007519A0" w:rsidP="00B30DF8">
      <w:pPr>
        <w:ind w:left="892" w:hanging="219"/>
        <w:rPr>
          <w:lang w:val="nl-NL"/>
        </w:rPr>
      </w:pPr>
    </w:p>
    <w:p w14:paraId="2DCEA4FB" w14:textId="77777777" w:rsidR="007519A0" w:rsidRPr="000C1989" w:rsidRDefault="007519A0" w:rsidP="000C1989">
      <w:pPr>
        <w:pStyle w:val="ListParagraph"/>
        <w:numPr>
          <w:ilvl w:val="0"/>
          <w:numId w:val="20"/>
        </w:numPr>
        <w:ind w:hanging="180"/>
        <w:rPr>
          <w:lang w:val="nl-NL"/>
        </w:rPr>
      </w:pPr>
      <w:r w:rsidRPr="000C1989">
        <w:rPr>
          <w:b/>
          <w:i/>
          <w:lang w:val="nl-NL"/>
        </w:rPr>
        <w:t xml:space="preserve">Orale anticoagulantia </w:t>
      </w:r>
      <w:r w:rsidRPr="000C1989">
        <w:rPr>
          <w:lang w:val="nl-NL"/>
        </w:rPr>
        <w:t>: corticosteroïden kunnen de werking van anticoagulantia versterken of verzwakken. Patiënten die orale anticoagulantia samen met corticosteroïden krijgen, moeten dus nauwlettend gevolgd worden.</w:t>
      </w:r>
    </w:p>
    <w:p w14:paraId="6B9C02EE" w14:textId="77777777" w:rsidR="007519A0" w:rsidRDefault="007519A0" w:rsidP="007519A0">
      <w:pPr>
        <w:pStyle w:val="Header"/>
        <w:tabs>
          <w:tab w:val="clear" w:pos="9072"/>
        </w:tabs>
        <w:ind w:left="900" w:hanging="219"/>
        <w:rPr>
          <w:lang w:val="nl-NL"/>
        </w:rPr>
      </w:pPr>
    </w:p>
    <w:p w14:paraId="5B2944D1" w14:textId="0436A851" w:rsidR="007519A0" w:rsidRPr="00BE643D" w:rsidRDefault="007519A0" w:rsidP="000C1989">
      <w:pPr>
        <w:numPr>
          <w:ilvl w:val="0"/>
          <w:numId w:val="22"/>
        </w:numPr>
        <w:ind w:left="759" w:hanging="219"/>
        <w:rPr>
          <w:lang w:val="nl-NL"/>
        </w:rPr>
      </w:pPr>
      <w:r>
        <w:rPr>
          <w:b/>
          <w:i/>
          <w:lang w:val="nl-NL"/>
        </w:rPr>
        <w:lastRenderedPageBreak/>
        <w:t xml:space="preserve">Antidiabetica </w:t>
      </w:r>
      <w:r>
        <w:rPr>
          <w:lang w:val="nl-NL"/>
        </w:rPr>
        <w:t xml:space="preserve">: corticosteroïden kunnen de glycemie doen toenemen; bij patiënten met diabetes moeten de resultaten van de bloed- of urinetests dus gecontroleerd worden, vooral bij het instellen van de behandeling met corticosteroïden, bij het </w:t>
      </w:r>
      <w:r w:rsidRPr="00BE643D">
        <w:rPr>
          <w:lang w:val="nl-NL"/>
        </w:rPr>
        <w:t>onderbreken van deze behandeling of bij wijziging van de dosis.</w:t>
      </w:r>
    </w:p>
    <w:p w14:paraId="5941F68B" w14:textId="77777777" w:rsidR="007519A0" w:rsidRPr="00BE643D" w:rsidRDefault="007519A0" w:rsidP="000C1989">
      <w:pPr>
        <w:ind w:left="540"/>
        <w:rPr>
          <w:lang w:val="nl-NL"/>
        </w:rPr>
      </w:pPr>
    </w:p>
    <w:p w14:paraId="529C0C8F" w14:textId="77777777" w:rsidR="007519A0" w:rsidRPr="000135B0" w:rsidRDefault="007519A0" w:rsidP="000C1989">
      <w:pPr>
        <w:pStyle w:val="ListParagraph"/>
        <w:numPr>
          <w:ilvl w:val="0"/>
          <w:numId w:val="22"/>
        </w:numPr>
        <w:ind w:left="767" w:hanging="227"/>
        <w:contextualSpacing/>
        <w:rPr>
          <w:lang w:val="nl-NL"/>
        </w:rPr>
      </w:pPr>
      <w:r w:rsidRPr="000135B0">
        <w:rPr>
          <w:b/>
          <w:i/>
          <w:lang w:val="nl-NL"/>
        </w:rPr>
        <w:t>Bloeddrukverlagers</w:t>
      </w:r>
      <w:r w:rsidRPr="000135B0">
        <w:rPr>
          <w:lang w:val="nl-NL"/>
        </w:rPr>
        <w:t>: Het bloeddrukverlagende effect wordt gedeeltelijk beperkt door de mineralocorticoïde activiteit van corticosteroïden, wat kan leiden tot verhoogde bloeddruk.</w:t>
      </w:r>
    </w:p>
    <w:p w14:paraId="479AB087" w14:textId="77777777" w:rsidR="007519A0" w:rsidRPr="000135B0" w:rsidRDefault="007519A0" w:rsidP="000C1989">
      <w:pPr>
        <w:pStyle w:val="ListParagraph"/>
        <w:ind w:left="902"/>
        <w:rPr>
          <w:lang w:val="nl-NL"/>
        </w:rPr>
      </w:pPr>
    </w:p>
    <w:p w14:paraId="1472F812" w14:textId="3FE3EA11" w:rsidR="007519A0" w:rsidRPr="000135B0" w:rsidRDefault="007519A0" w:rsidP="000C1989">
      <w:pPr>
        <w:pStyle w:val="spacing1"/>
        <w:numPr>
          <w:ilvl w:val="0"/>
          <w:numId w:val="22"/>
        </w:numPr>
        <w:shd w:val="clear" w:color="auto" w:fill="FFFFFF"/>
        <w:spacing w:before="0" w:beforeAutospacing="0" w:after="0"/>
        <w:ind w:left="767" w:hanging="227"/>
        <w:rPr>
          <w:rFonts w:ascii="Arial" w:hAnsi="Arial" w:cs="Arial"/>
          <w:lang w:val="nl-NL"/>
        </w:rPr>
      </w:pPr>
      <w:r w:rsidRPr="000135B0">
        <w:rPr>
          <w:b/>
          <w:i/>
          <w:lang w:val="nl-NL" w:eastAsia="en-US"/>
        </w:rPr>
        <w:t>Diuretica</w:t>
      </w:r>
      <w:r w:rsidRPr="000135B0">
        <w:rPr>
          <w:lang w:val="nl-NL" w:eastAsia="en-US"/>
        </w:rPr>
        <w:t>: Bij hypokaliëmische diuretica zoals bijvoorbeeld furosemide dienen de kaliumwaarden te worden gecontroleerd. Indien nodig  moet het kaliumgehalte worden gecompenseerd.</w:t>
      </w:r>
    </w:p>
    <w:p w14:paraId="19A399E4" w14:textId="77777777" w:rsidR="007519A0" w:rsidRPr="0018244D" w:rsidRDefault="007519A0" w:rsidP="000C1989">
      <w:pPr>
        <w:pStyle w:val="spacing1"/>
        <w:shd w:val="clear" w:color="auto" w:fill="FFFFFF"/>
        <w:ind w:left="900"/>
        <w:rPr>
          <w:rFonts w:ascii="Arial" w:hAnsi="Arial" w:cs="Arial"/>
          <w:highlight w:val="red"/>
          <w:lang w:val="nl-NL"/>
        </w:rPr>
      </w:pPr>
    </w:p>
    <w:p w14:paraId="34538104" w14:textId="77777777" w:rsidR="007519A0" w:rsidRPr="007519A0" w:rsidRDefault="007519A0" w:rsidP="000C1989">
      <w:pPr>
        <w:pStyle w:val="spacing1"/>
        <w:numPr>
          <w:ilvl w:val="0"/>
          <w:numId w:val="22"/>
        </w:numPr>
        <w:shd w:val="clear" w:color="auto" w:fill="FFFFFF"/>
        <w:spacing w:before="0" w:beforeAutospacing="0" w:after="0"/>
        <w:ind w:left="810" w:hanging="270"/>
        <w:rPr>
          <w:lang w:val="nl-NL"/>
        </w:rPr>
      </w:pPr>
      <w:r w:rsidRPr="000135B0">
        <w:rPr>
          <w:b/>
          <w:i/>
          <w:iCs/>
          <w:lang w:val="nl-NL"/>
        </w:rPr>
        <w:t>Psychofarmaca</w:t>
      </w:r>
      <w:r w:rsidRPr="000135B0">
        <w:rPr>
          <w:lang w:val="nl-NL"/>
        </w:rPr>
        <w:t>: Het effect van anxiolytica en antipsychotica kan worden verminderd. Indien nodig moet de dosis van de werkzame CNS stoffen worden aangepast.</w:t>
      </w:r>
      <w:r>
        <w:rPr>
          <w:lang w:val="nl-NL"/>
        </w:rPr>
        <w:br/>
      </w:r>
    </w:p>
    <w:p w14:paraId="02895158" w14:textId="77777777" w:rsidR="007519A0" w:rsidRPr="00C44BED" w:rsidRDefault="007519A0" w:rsidP="000C1989">
      <w:pPr>
        <w:pStyle w:val="spacing1"/>
        <w:numPr>
          <w:ilvl w:val="0"/>
          <w:numId w:val="22"/>
        </w:numPr>
        <w:shd w:val="clear" w:color="auto" w:fill="FFFFFF"/>
        <w:spacing w:before="0" w:beforeAutospacing="0" w:after="0"/>
        <w:ind w:left="810" w:hanging="267"/>
        <w:rPr>
          <w:lang w:val="nl-NL"/>
        </w:rPr>
      </w:pPr>
      <w:r w:rsidRPr="00C44BED">
        <w:rPr>
          <w:b/>
          <w:i/>
          <w:lang w:val="nl-NL"/>
        </w:rPr>
        <w:t>Sympathicomimetica</w:t>
      </w:r>
      <w:r w:rsidRPr="00C44BED">
        <w:rPr>
          <w:lang w:val="nl-NL"/>
        </w:rPr>
        <w:t>: Het effect en de mogelijke toxiciteit van salbutamol zijn verhoogd.</w:t>
      </w:r>
      <w:r>
        <w:rPr>
          <w:lang w:val="nl-NL"/>
        </w:rPr>
        <w:br/>
      </w:r>
    </w:p>
    <w:p w14:paraId="69025D1B" w14:textId="2DF7C74F" w:rsidR="007519A0" w:rsidRPr="000135B0" w:rsidRDefault="007519A0" w:rsidP="000C1989">
      <w:pPr>
        <w:pStyle w:val="nospacing"/>
        <w:numPr>
          <w:ilvl w:val="0"/>
          <w:numId w:val="22"/>
        </w:numPr>
        <w:shd w:val="clear" w:color="auto" w:fill="FFFFFF"/>
        <w:spacing w:before="0" w:beforeAutospacing="0" w:after="0"/>
        <w:ind w:left="810" w:hanging="270"/>
        <w:rPr>
          <w:lang w:val="nl-NL"/>
        </w:rPr>
      </w:pPr>
      <w:r w:rsidRPr="000135B0">
        <w:rPr>
          <w:b/>
          <w:i/>
          <w:lang w:val="nl-NL"/>
        </w:rPr>
        <w:t>Cytostatica</w:t>
      </w:r>
      <w:r w:rsidRPr="000135B0">
        <w:rPr>
          <w:lang w:val="nl-NL"/>
        </w:rPr>
        <w:t>: De activiteit van cyclofosfamide kan verlaagd zijn</w:t>
      </w:r>
      <w:r w:rsidR="003C3129">
        <w:rPr>
          <w:lang w:val="nl-NL"/>
        </w:rPr>
        <w:t>.</w:t>
      </w:r>
    </w:p>
    <w:p w14:paraId="1ABAC13C" w14:textId="77777777" w:rsidR="007519A0" w:rsidRPr="00BE643D" w:rsidRDefault="007519A0" w:rsidP="00B30DF8">
      <w:pPr>
        <w:pStyle w:val="nospacing"/>
        <w:shd w:val="clear" w:color="auto" w:fill="FFFFFF"/>
        <w:spacing w:before="0" w:beforeAutospacing="0" w:after="0"/>
        <w:rPr>
          <w:lang w:val="nl-NL"/>
        </w:rPr>
      </w:pPr>
    </w:p>
    <w:p w14:paraId="0993DEE9" w14:textId="15A5EE47" w:rsidR="007519A0" w:rsidRDefault="007519A0" w:rsidP="000C1989">
      <w:pPr>
        <w:numPr>
          <w:ilvl w:val="0"/>
          <w:numId w:val="22"/>
        </w:numPr>
        <w:ind w:left="810" w:hanging="270"/>
        <w:rPr>
          <w:lang w:val="nl-NL"/>
        </w:rPr>
      </w:pPr>
      <w:r w:rsidRPr="00C70DE2">
        <w:rPr>
          <w:b/>
          <w:i/>
          <w:shd w:val="clear" w:color="auto" w:fill="FFFFFF"/>
          <w:lang w:val="nl-NL"/>
        </w:rPr>
        <w:t>Isoniazide</w:t>
      </w:r>
      <w:r w:rsidRPr="00C70DE2">
        <w:rPr>
          <w:shd w:val="clear" w:color="auto" w:fill="FFFFFF"/>
          <w:lang w:val="nl-NL"/>
        </w:rPr>
        <w:t>: mogelijke daling van de serumspiegel van isoniazide</w:t>
      </w:r>
      <w:r w:rsidR="003C3129">
        <w:rPr>
          <w:shd w:val="clear" w:color="auto" w:fill="FFFFFF"/>
          <w:lang w:val="nl-NL"/>
        </w:rPr>
        <w:t xml:space="preserve"> </w:t>
      </w:r>
      <w:r>
        <w:rPr>
          <w:lang w:val="nl-NL"/>
        </w:rPr>
        <w:t>(zie rubriek 4.4).</w:t>
      </w:r>
    </w:p>
    <w:p w14:paraId="08DB4865" w14:textId="77777777" w:rsidR="007519A0" w:rsidRDefault="007519A0" w:rsidP="000C1989">
      <w:pPr>
        <w:rPr>
          <w:lang w:val="nl-NL"/>
        </w:rPr>
      </w:pPr>
    </w:p>
    <w:p w14:paraId="5F75038F" w14:textId="77777777" w:rsidR="007519A0" w:rsidRDefault="007519A0" w:rsidP="000C1989">
      <w:pPr>
        <w:tabs>
          <w:tab w:val="left" w:pos="-1094"/>
          <w:tab w:val="left" w:pos="-720"/>
          <w:tab w:val="left" w:pos="0"/>
          <w:tab w:val="left" w:pos="993"/>
          <w:tab w:val="left" w:pos="1440"/>
          <w:tab w:val="left" w:pos="2160"/>
          <w:tab w:val="left" w:pos="2880"/>
          <w:tab w:val="left" w:pos="3600"/>
          <w:tab w:val="left" w:pos="4228"/>
          <w:tab w:val="left" w:pos="5040"/>
        </w:tabs>
        <w:ind w:left="759" w:hanging="219"/>
        <w:rPr>
          <w:lang w:val="nl-NL"/>
        </w:rPr>
      </w:pPr>
      <w:r>
        <w:rPr>
          <w:i/>
          <w:lang w:val="nl-NL"/>
        </w:rPr>
        <w:t xml:space="preserve">-   </w:t>
      </w:r>
      <w:r>
        <w:rPr>
          <w:b/>
          <w:i/>
          <w:lang w:val="nl-NL"/>
        </w:rPr>
        <w:t xml:space="preserve">Digitalisglucosiden </w:t>
      </w:r>
      <w:r>
        <w:rPr>
          <w:lang w:val="nl-NL"/>
        </w:rPr>
        <w:t>: gelijktijdige toediening hiervan kan het risico op digitalisintoxicatie verhogen.</w:t>
      </w:r>
    </w:p>
    <w:p w14:paraId="27167FFC" w14:textId="77777777" w:rsidR="007519A0" w:rsidRDefault="007519A0" w:rsidP="000C1989">
      <w:pPr>
        <w:tabs>
          <w:tab w:val="left" w:pos="-1094"/>
          <w:tab w:val="left" w:pos="-720"/>
          <w:tab w:val="left" w:pos="0"/>
          <w:tab w:val="left" w:pos="720"/>
          <w:tab w:val="left" w:pos="1440"/>
          <w:tab w:val="left" w:pos="2160"/>
          <w:tab w:val="left" w:pos="2880"/>
          <w:tab w:val="left" w:pos="3600"/>
          <w:tab w:val="left" w:pos="4228"/>
          <w:tab w:val="left" w:pos="5040"/>
        </w:tabs>
        <w:ind w:left="540"/>
        <w:rPr>
          <w:lang w:val="nl-NL"/>
        </w:rPr>
      </w:pPr>
    </w:p>
    <w:p w14:paraId="2538A3C4" w14:textId="77777777" w:rsidR="007519A0" w:rsidRDefault="007519A0" w:rsidP="000C1989">
      <w:pPr>
        <w:tabs>
          <w:tab w:val="left" w:pos="-1094"/>
          <w:tab w:val="left" w:pos="-720"/>
          <w:tab w:val="left" w:pos="0"/>
          <w:tab w:val="left" w:pos="993"/>
          <w:tab w:val="left" w:pos="1440"/>
          <w:tab w:val="left" w:pos="2160"/>
          <w:tab w:val="left" w:pos="2880"/>
          <w:tab w:val="left" w:pos="3600"/>
          <w:tab w:val="left" w:pos="4228"/>
          <w:tab w:val="left" w:pos="5040"/>
        </w:tabs>
        <w:ind w:left="852" w:hanging="312"/>
        <w:rPr>
          <w:lang w:val="nl-NL"/>
        </w:rPr>
      </w:pPr>
      <w:r>
        <w:rPr>
          <w:i/>
          <w:lang w:val="nl-NL"/>
        </w:rPr>
        <w:t xml:space="preserve">-   </w:t>
      </w:r>
      <w:r>
        <w:rPr>
          <w:b/>
          <w:i/>
          <w:lang w:val="nl-NL"/>
        </w:rPr>
        <w:t>Menselijk groeihormoon</w:t>
      </w:r>
      <w:r>
        <w:rPr>
          <w:lang w:val="nl-NL"/>
        </w:rPr>
        <w:t xml:space="preserve"> </w:t>
      </w:r>
      <w:r>
        <w:rPr>
          <w:i/>
          <w:lang w:val="nl-NL"/>
        </w:rPr>
        <w:t>(bijv. somatropine)</w:t>
      </w:r>
      <w:r>
        <w:rPr>
          <w:lang w:val="nl-NL"/>
        </w:rPr>
        <w:t>: risico op afremming van het effect van somatropine op de groei.</w:t>
      </w:r>
    </w:p>
    <w:p w14:paraId="08EF590B" w14:textId="77777777" w:rsidR="007519A0" w:rsidRDefault="007519A0" w:rsidP="000C1989">
      <w:pPr>
        <w:tabs>
          <w:tab w:val="left" w:pos="-1094"/>
          <w:tab w:val="left" w:pos="-720"/>
          <w:tab w:val="left" w:pos="0"/>
          <w:tab w:val="left" w:pos="993"/>
          <w:tab w:val="left" w:pos="1440"/>
          <w:tab w:val="left" w:pos="2160"/>
          <w:tab w:val="left" w:pos="2880"/>
          <w:tab w:val="left" w:pos="3600"/>
          <w:tab w:val="left" w:pos="4228"/>
          <w:tab w:val="left" w:pos="5040"/>
        </w:tabs>
        <w:ind w:left="852" w:hanging="312"/>
        <w:rPr>
          <w:lang w:val="nl-NL"/>
        </w:rPr>
      </w:pPr>
    </w:p>
    <w:p w14:paraId="6137AF5F" w14:textId="77777777" w:rsidR="007519A0" w:rsidRDefault="007519A0" w:rsidP="000C1989">
      <w:pPr>
        <w:tabs>
          <w:tab w:val="left" w:pos="-1094"/>
          <w:tab w:val="left" w:pos="-720"/>
          <w:tab w:val="left" w:pos="0"/>
          <w:tab w:val="left" w:pos="993"/>
          <w:tab w:val="left" w:pos="1440"/>
          <w:tab w:val="left" w:pos="2160"/>
          <w:tab w:val="left" w:pos="2880"/>
          <w:tab w:val="left" w:pos="3600"/>
          <w:tab w:val="left" w:pos="4228"/>
          <w:tab w:val="left" w:pos="5040"/>
        </w:tabs>
        <w:ind w:left="852" w:hanging="312"/>
        <w:rPr>
          <w:lang w:val="nl-NL"/>
        </w:rPr>
      </w:pPr>
      <w:r>
        <w:rPr>
          <w:i/>
          <w:lang w:val="nl-NL"/>
        </w:rPr>
        <w:t xml:space="preserve">-   </w:t>
      </w:r>
      <w:r>
        <w:rPr>
          <w:b/>
          <w:i/>
          <w:lang w:val="nl-NL"/>
        </w:rPr>
        <w:t xml:space="preserve">Niet-depolarisende myorelaxantia </w:t>
      </w:r>
      <w:r>
        <w:rPr>
          <w:lang w:val="nl-NL"/>
        </w:rPr>
        <w:t>: corticosteroïden kunnen het neuromusculaire afremmende effect verzwakken of versterken.</w:t>
      </w:r>
    </w:p>
    <w:p w14:paraId="304FA814" w14:textId="77777777" w:rsidR="007519A0" w:rsidRDefault="007519A0" w:rsidP="000C1989">
      <w:pPr>
        <w:tabs>
          <w:tab w:val="left" w:pos="-1094"/>
          <w:tab w:val="left" w:pos="-720"/>
          <w:tab w:val="left" w:pos="0"/>
          <w:tab w:val="left" w:pos="720"/>
          <w:tab w:val="left" w:pos="1440"/>
          <w:tab w:val="left" w:pos="2160"/>
          <w:tab w:val="left" w:pos="2880"/>
          <w:tab w:val="left" w:pos="3600"/>
          <w:tab w:val="left" w:pos="4228"/>
          <w:tab w:val="left" w:pos="5040"/>
        </w:tabs>
        <w:ind w:left="548"/>
        <w:rPr>
          <w:lang w:val="nl-NL"/>
        </w:rPr>
      </w:pPr>
    </w:p>
    <w:p w14:paraId="7AEFD590" w14:textId="77777777" w:rsidR="007519A0" w:rsidRDefault="007519A0" w:rsidP="000C1989">
      <w:pPr>
        <w:ind w:left="849" w:hanging="309"/>
        <w:rPr>
          <w:lang w:val="nl-NL"/>
        </w:rPr>
      </w:pPr>
      <w:r>
        <w:rPr>
          <w:i/>
          <w:lang w:val="nl-NL"/>
        </w:rPr>
        <w:t xml:space="preserve">-   </w:t>
      </w:r>
      <w:r>
        <w:rPr>
          <w:b/>
          <w:i/>
          <w:lang w:val="nl-NL"/>
        </w:rPr>
        <w:t xml:space="preserve">Niet-steroïde ontstekingswerende middelen (NSAI) </w:t>
      </w:r>
      <w:r>
        <w:rPr>
          <w:lang w:val="nl-NL"/>
        </w:rPr>
        <w:t xml:space="preserve">: corticosteroïden kunnen de incidentie en de ernst van maagdarmbloedingen en zweren, gepaard gaande met NSAI, doen toenemen. Corticosteroïden kunnen eveneens de bloedspiegel van salicylaten doen dalen en dus ook de doeltreffendheid ervan. Omgekeerd kan het onderbreken van de behandeling met corticosteroïden in de loop van een behandeling met hoge dosissen salicylaten, een salicylaatgebonden toxiciteit veroorzaken. </w:t>
      </w:r>
      <w:r w:rsidRPr="000135B0">
        <w:rPr>
          <w:b/>
          <w:i/>
          <w:lang w:val="nl-NL"/>
        </w:rPr>
        <w:t xml:space="preserve">Acetylsalicylzuur </w:t>
      </w:r>
      <w:r w:rsidRPr="000135B0">
        <w:rPr>
          <w:lang w:val="nl-NL"/>
        </w:rPr>
        <w:t xml:space="preserve"> moet met de nodige voorzorgen gebruikt worden in combinatie met corticosteroïden bij patiënten met hypoprotrombinemie.</w:t>
      </w:r>
    </w:p>
    <w:p w14:paraId="5DE0EE65" w14:textId="77777777" w:rsidR="007519A0" w:rsidRDefault="007519A0" w:rsidP="000C1989">
      <w:pPr>
        <w:tabs>
          <w:tab w:val="left" w:pos="-1094"/>
          <w:tab w:val="left" w:pos="-720"/>
          <w:tab w:val="left" w:pos="0"/>
          <w:tab w:val="left" w:pos="993"/>
          <w:tab w:val="left" w:pos="1440"/>
          <w:tab w:val="left" w:pos="2160"/>
          <w:tab w:val="left" w:pos="2880"/>
          <w:tab w:val="left" w:pos="3600"/>
          <w:tab w:val="left" w:pos="4228"/>
          <w:tab w:val="left" w:pos="5040"/>
        </w:tabs>
        <w:ind w:left="852" w:hanging="312"/>
        <w:rPr>
          <w:lang w:val="nl-NL"/>
        </w:rPr>
      </w:pPr>
    </w:p>
    <w:p w14:paraId="192686EA" w14:textId="77777777" w:rsidR="007519A0" w:rsidRPr="00E84C3E" w:rsidRDefault="007519A0" w:rsidP="000C1989">
      <w:pPr>
        <w:numPr>
          <w:ilvl w:val="0"/>
          <w:numId w:val="19"/>
        </w:numPr>
        <w:ind w:left="759" w:hanging="219"/>
        <w:rPr>
          <w:lang w:val="nl-NL"/>
        </w:rPr>
      </w:pPr>
      <w:r w:rsidRPr="00E84C3E">
        <w:rPr>
          <w:i/>
          <w:lang w:val="nl-NL"/>
        </w:rPr>
        <w:t xml:space="preserve"> </w:t>
      </w:r>
      <w:r w:rsidRPr="00E84C3E">
        <w:rPr>
          <w:b/>
          <w:i/>
          <w:lang w:val="nl-NL"/>
        </w:rPr>
        <w:t xml:space="preserve">Thyroïdgeneesmiddelen </w:t>
      </w:r>
      <w:r w:rsidRPr="00E84C3E">
        <w:rPr>
          <w:lang w:val="nl-NL"/>
        </w:rPr>
        <w:t>: Glucocorticosteroïden kunnen de opvang en eiwitbinding van jodium verminderen, wat de controle van de therapeutische respons van thyroïd-patiënten die met jodium behandeld worden, kan bemoeilijken (zie rubriek 4.4).</w:t>
      </w:r>
    </w:p>
    <w:p w14:paraId="761279E6" w14:textId="77777777" w:rsidR="007519A0" w:rsidRDefault="007519A0" w:rsidP="000C1989">
      <w:pPr>
        <w:pStyle w:val="Header"/>
        <w:tabs>
          <w:tab w:val="clear" w:pos="9072"/>
          <w:tab w:val="left" w:pos="-1094"/>
          <w:tab w:val="left" w:pos="-720"/>
          <w:tab w:val="left" w:pos="0"/>
          <w:tab w:val="left" w:pos="720"/>
          <w:tab w:val="left" w:pos="1440"/>
          <w:tab w:val="left" w:pos="2160"/>
          <w:tab w:val="left" w:pos="2880"/>
          <w:tab w:val="left" w:pos="3600"/>
          <w:tab w:val="left" w:pos="4228"/>
          <w:tab w:val="left" w:pos="5040"/>
        </w:tabs>
        <w:rPr>
          <w:lang w:val="nl-NL"/>
        </w:rPr>
      </w:pPr>
    </w:p>
    <w:p w14:paraId="3DDB63EA" w14:textId="77777777" w:rsidR="007519A0" w:rsidRDefault="007519A0" w:rsidP="000C1989">
      <w:pPr>
        <w:tabs>
          <w:tab w:val="left" w:pos="-1094"/>
          <w:tab w:val="left" w:pos="-720"/>
          <w:tab w:val="left" w:pos="0"/>
          <w:tab w:val="left" w:pos="993"/>
          <w:tab w:val="left" w:pos="1440"/>
          <w:tab w:val="left" w:pos="2160"/>
          <w:tab w:val="left" w:pos="2880"/>
          <w:tab w:val="left" w:pos="3600"/>
          <w:tab w:val="left" w:pos="4228"/>
          <w:tab w:val="left" w:pos="5040"/>
        </w:tabs>
        <w:ind w:left="852" w:hanging="312"/>
        <w:rPr>
          <w:lang w:val="nl-NL"/>
        </w:rPr>
      </w:pPr>
      <w:r w:rsidRPr="000135B0">
        <w:rPr>
          <w:i/>
          <w:lang w:val="nl-NL"/>
        </w:rPr>
        <w:t xml:space="preserve">-   </w:t>
      </w:r>
      <w:r w:rsidRPr="000135B0">
        <w:rPr>
          <w:b/>
          <w:i/>
          <w:lang w:val="nl-NL"/>
        </w:rPr>
        <w:t xml:space="preserve">Afremmers van het angiotensine-conversie-enzym (ACE) </w:t>
      </w:r>
      <w:r w:rsidRPr="000135B0">
        <w:rPr>
          <w:lang w:val="nl-NL"/>
        </w:rPr>
        <w:t>: mogelijke wisselwerking met triamcinolonacetonide.</w:t>
      </w:r>
    </w:p>
    <w:p w14:paraId="2494EF7C" w14:textId="77777777" w:rsidR="007519A0" w:rsidRDefault="007519A0" w:rsidP="007519A0">
      <w:pPr>
        <w:tabs>
          <w:tab w:val="left" w:pos="-1094"/>
          <w:tab w:val="left" w:pos="-720"/>
          <w:tab w:val="left" w:pos="0"/>
          <w:tab w:val="left" w:pos="720"/>
          <w:tab w:val="left" w:pos="1440"/>
          <w:tab w:val="left" w:pos="2160"/>
          <w:tab w:val="left" w:pos="2880"/>
          <w:tab w:val="left" w:pos="3600"/>
          <w:tab w:val="left" w:pos="4228"/>
          <w:tab w:val="left" w:pos="5040"/>
        </w:tabs>
        <w:ind w:left="681"/>
        <w:rPr>
          <w:lang w:val="nl-NL"/>
        </w:rPr>
      </w:pPr>
    </w:p>
    <w:p w14:paraId="00B43BF9" w14:textId="77777777" w:rsidR="007519A0" w:rsidRDefault="007519A0" w:rsidP="007519A0">
      <w:pPr>
        <w:pStyle w:val="Heading1"/>
        <w:ind w:left="681"/>
        <w:jc w:val="left"/>
        <w:rPr>
          <w:b w:val="0"/>
          <w:sz w:val="24"/>
          <w:lang w:val="nl-NL"/>
        </w:rPr>
      </w:pPr>
      <w:r>
        <w:rPr>
          <w:b w:val="0"/>
          <w:sz w:val="24"/>
          <w:lang w:val="nl-NL"/>
        </w:rPr>
        <w:t xml:space="preserve">Wisselwerkingen met diagnostische tests: </w:t>
      </w:r>
    </w:p>
    <w:p w14:paraId="1D6D5D5B" w14:textId="77777777" w:rsidR="007519A0" w:rsidRDefault="007519A0" w:rsidP="007519A0">
      <w:pPr>
        <w:ind w:left="681"/>
        <w:rPr>
          <w:lang w:val="nl-NL"/>
        </w:rPr>
      </w:pPr>
      <w:r>
        <w:rPr>
          <w:lang w:val="nl-NL"/>
        </w:rPr>
        <w:lastRenderedPageBreak/>
        <w:t>Op het vlak van laboratoriumonderzoeken beïnvloedt triamcinolonacetonide de amylase- en cholesteroltests, de bloedglucose-, natrium-, calcium, kalium- en thyroïdtests.</w:t>
      </w:r>
    </w:p>
    <w:p w14:paraId="07A331BF" w14:textId="77777777" w:rsidR="007519A0" w:rsidRDefault="007519A0" w:rsidP="007519A0">
      <w:pPr>
        <w:tabs>
          <w:tab w:val="left" w:pos="-1094"/>
          <w:tab w:val="left" w:pos="-720"/>
          <w:tab w:val="left" w:pos="0"/>
          <w:tab w:val="left" w:pos="720"/>
          <w:tab w:val="left" w:pos="1440"/>
          <w:tab w:val="left" w:pos="2160"/>
          <w:tab w:val="left" w:pos="2880"/>
          <w:tab w:val="left" w:pos="3600"/>
          <w:tab w:val="left" w:pos="4228"/>
          <w:tab w:val="left" w:pos="5040"/>
        </w:tabs>
        <w:ind w:left="681"/>
        <w:rPr>
          <w:lang w:val="nl-NL"/>
        </w:rPr>
      </w:pPr>
      <w:r>
        <w:rPr>
          <w:lang w:val="nl-NL"/>
        </w:rPr>
        <w:t>Corticosteroïden kunnen de nitroblauwtetrazolium-test ter differentiëring van bacteriële infecties beïnvloeden, en foutnegatieve resultaten opleveren.</w:t>
      </w:r>
    </w:p>
    <w:p w14:paraId="1AB82885" w14:textId="77777777" w:rsidR="004F2AD8" w:rsidRPr="00996C1F" w:rsidRDefault="004F2AD8">
      <w:pPr>
        <w:ind w:left="681"/>
        <w:rPr>
          <w:lang w:val="nl-NL"/>
        </w:rPr>
      </w:pPr>
    </w:p>
    <w:p w14:paraId="25F73406" w14:textId="77777777" w:rsidR="004F2AD8" w:rsidRPr="00996C1F" w:rsidRDefault="004F2AD8">
      <w:pPr>
        <w:tabs>
          <w:tab w:val="left" w:pos="600"/>
          <w:tab w:val="left" w:pos="1200"/>
          <w:tab w:val="left" w:pos="1800"/>
          <w:tab w:val="left" w:pos="2400"/>
          <w:tab w:val="left" w:pos="3000"/>
          <w:tab w:val="left" w:pos="3600"/>
          <w:tab w:val="left" w:pos="4200"/>
          <w:tab w:val="left" w:pos="4320"/>
          <w:tab w:val="left" w:pos="4800"/>
          <w:tab w:val="left" w:pos="5400"/>
          <w:tab w:val="left" w:pos="6000"/>
          <w:tab w:val="left" w:pos="6600"/>
          <w:tab w:val="left" w:pos="7200"/>
          <w:tab w:val="left" w:pos="7800"/>
          <w:tab w:val="left" w:pos="8400"/>
        </w:tabs>
        <w:rPr>
          <w:lang w:val="nl-NL"/>
        </w:rPr>
      </w:pPr>
    </w:p>
    <w:p w14:paraId="179380C5" w14:textId="77777777" w:rsidR="004F2AD8" w:rsidRPr="00017F88" w:rsidRDefault="004F2AD8">
      <w:pPr>
        <w:pStyle w:val="Heading3"/>
        <w:rPr>
          <w:b/>
          <w:u w:val="none"/>
          <w:lang w:val="nl-NL"/>
        </w:rPr>
      </w:pPr>
      <w:r w:rsidRPr="00017F88">
        <w:rPr>
          <w:b/>
          <w:u w:val="none"/>
          <w:lang w:val="nl-NL"/>
        </w:rPr>
        <w:t>4.6</w:t>
      </w:r>
      <w:r w:rsidRPr="00017F88">
        <w:rPr>
          <w:b/>
          <w:u w:val="none"/>
          <w:lang w:val="nl-NL"/>
        </w:rPr>
        <w:tab/>
      </w:r>
      <w:r w:rsidR="00144EA4" w:rsidRPr="00017F88">
        <w:rPr>
          <w:b/>
          <w:u w:val="none"/>
          <w:lang w:val="nl-NL"/>
        </w:rPr>
        <w:t>Vruchtbaarheid, z</w:t>
      </w:r>
      <w:r w:rsidRPr="00017F88">
        <w:rPr>
          <w:b/>
          <w:u w:val="none"/>
          <w:lang w:val="nl-NL"/>
        </w:rPr>
        <w:t>wangerschap en borstvoeding</w:t>
      </w:r>
    </w:p>
    <w:p w14:paraId="10BFB257" w14:textId="77777777" w:rsidR="004F2AD8" w:rsidRPr="00996C1F" w:rsidRDefault="004F2AD8">
      <w:pPr>
        <w:ind w:left="681"/>
        <w:rPr>
          <w:lang w:val="nl-NL"/>
        </w:rPr>
      </w:pPr>
    </w:p>
    <w:p w14:paraId="2529683F" w14:textId="77777777" w:rsidR="004F2AD8" w:rsidRPr="00017F88" w:rsidRDefault="004F2AD8">
      <w:pPr>
        <w:pStyle w:val="Heading5"/>
        <w:rPr>
          <w:b w:val="0"/>
          <w:i w:val="0"/>
          <w:sz w:val="24"/>
          <w:u w:val="single"/>
          <w:lang w:val="nl-NL"/>
        </w:rPr>
      </w:pPr>
      <w:r w:rsidRPr="00017F88">
        <w:rPr>
          <w:b w:val="0"/>
          <w:i w:val="0"/>
          <w:sz w:val="24"/>
          <w:u w:val="single"/>
          <w:lang w:val="nl-NL"/>
        </w:rPr>
        <w:t>Zwangerschap:</w:t>
      </w:r>
    </w:p>
    <w:p w14:paraId="4090F04C" w14:textId="77777777" w:rsidR="004F2AD8" w:rsidRPr="00996C1F" w:rsidRDefault="004F2AD8">
      <w:pPr>
        <w:ind w:left="681"/>
        <w:rPr>
          <w:lang w:val="nl-NL"/>
        </w:rPr>
      </w:pPr>
      <w:r w:rsidRPr="00996C1F">
        <w:rPr>
          <w:lang w:val="nl-NL"/>
        </w:rPr>
        <w:t xml:space="preserve">Glucocorticosteroïden zijn niet aangeraden tijdens de zwangerschap, in het bijzonder tijdens het eerste trimester, tenzij de ziekte waarvoor ze voorgeschreven werden het gebruik ervan rechtvaardigt. </w:t>
      </w:r>
      <w:r w:rsidRPr="00996C1F">
        <w:rPr>
          <w:lang w:val="nl-NL"/>
        </w:rPr>
        <w:br/>
        <w:t>Bijnierinsufficiëntie kan voorkomen bij kinderen van moeders die met corticosteroïden werden behandeld.</w:t>
      </w:r>
    </w:p>
    <w:p w14:paraId="135F66AC" w14:textId="77777777" w:rsidR="004F2AD8" w:rsidRPr="00996C1F" w:rsidRDefault="004F2AD8">
      <w:pPr>
        <w:ind w:left="681"/>
        <w:rPr>
          <w:b/>
          <w:lang w:val="nl-NL"/>
        </w:rPr>
      </w:pPr>
    </w:p>
    <w:p w14:paraId="4DF28231" w14:textId="77777777" w:rsidR="004F2AD8" w:rsidRPr="00017F88" w:rsidRDefault="004F2AD8">
      <w:pPr>
        <w:pStyle w:val="Heading5"/>
        <w:rPr>
          <w:b w:val="0"/>
          <w:i w:val="0"/>
          <w:sz w:val="24"/>
          <w:u w:val="single"/>
          <w:lang w:val="nl-NL"/>
        </w:rPr>
      </w:pPr>
      <w:r w:rsidRPr="00017F88">
        <w:rPr>
          <w:b w:val="0"/>
          <w:i w:val="0"/>
          <w:sz w:val="24"/>
          <w:u w:val="single"/>
          <w:lang w:val="nl-NL"/>
        </w:rPr>
        <w:t>Borstvoeding:</w:t>
      </w:r>
    </w:p>
    <w:p w14:paraId="6B7963FF" w14:textId="77777777" w:rsidR="0078562A" w:rsidRPr="00996C1F" w:rsidRDefault="004341F8" w:rsidP="004341F8">
      <w:pPr>
        <w:ind w:left="681"/>
        <w:rPr>
          <w:lang w:val="nl-NL"/>
        </w:rPr>
      </w:pPr>
      <w:r w:rsidRPr="00996C1F">
        <w:rPr>
          <w:lang w:val="nl-NL"/>
        </w:rPr>
        <w:t>Gebruik van Kenacort-A 10 mg/ml wordt afgeraden tijdens de borstvoeding (zie rubriek 4.3). Een beslissing dient te worden genomen om ofwel te stoppen met borstvoeding, ofwel te stoppen of af te zien van behandeling met Kenacort-A 10 mg/ml, rekening houdend met het voordeel van borstvoeding voor het kind en het voordeel van de behandeling voor de vrouw.</w:t>
      </w:r>
    </w:p>
    <w:p w14:paraId="2AFE1171" w14:textId="77777777" w:rsidR="00BE643D" w:rsidRPr="007519A0" w:rsidRDefault="00BE643D" w:rsidP="001605F1">
      <w:pPr>
        <w:autoSpaceDE w:val="0"/>
        <w:autoSpaceDN w:val="0"/>
        <w:adjustRightInd w:val="0"/>
        <w:ind w:left="681"/>
        <w:rPr>
          <w:szCs w:val="20"/>
          <w:lang w:val="nl-NL"/>
        </w:rPr>
      </w:pPr>
    </w:p>
    <w:p w14:paraId="6FEFF3CA" w14:textId="77777777" w:rsidR="00BE643D" w:rsidRPr="00996C1F" w:rsidRDefault="00BE643D" w:rsidP="001605F1">
      <w:pPr>
        <w:autoSpaceDE w:val="0"/>
        <w:autoSpaceDN w:val="0"/>
        <w:adjustRightInd w:val="0"/>
        <w:ind w:left="681"/>
        <w:rPr>
          <w:szCs w:val="20"/>
          <w:lang w:val="nl-NL"/>
        </w:rPr>
      </w:pPr>
      <w:r w:rsidRPr="00996C1F">
        <w:rPr>
          <w:szCs w:val="20"/>
          <w:lang w:val="nl-NL"/>
        </w:rPr>
        <w:t xml:space="preserve">Onderzoek met proefdieren heeft uitgewezen dat veel corticosteroïden teratogeen zijn bij lage doses. Aangezien adequate menselijke reproductiestudies niet zijn uitgevoerd met corticosteroïden, zal voor het gebruik van deze medicijnen tijdens zwangerschap, borstvoeding of vrouwen in de vruchtbare fase de mogelijke voordelen van het medicijn afgewogen moeten worden tegen de mogelijke gevaren voor de moeder, embryo, foetus of zuigeling. </w:t>
      </w:r>
      <w:r w:rsidR="007A6A11" w:rsidRPr="00996C1F">
        <w:rPr>
          <w:szCs w:val="20"/>
          <w:lang w:val="nl-NL"/>
        </w:rPr>
        <w:t>Voor a</w:t>
      </w:r>
      <w:r w:rsidRPr="00996C1F">
        <w:rPr>
          <w:szCs w:val="20"/>
          <w:lang w:val="nl-NL"/>
        </w:rPr>
        <w:t xml:space="preserve">ndere </w:t>
      </w:r>
      <w:r w:rsidR="007A6A11" w:rsidRPr="00996C1F">
        <w:rPr>
          <w:szCs w:val="20"/>
          <w:lang w:val="nl-NL"/>
        </w:rPr>
        <w:t>systemische</w:t>
      </w:r>
      <w:r w:rsidRPr="00996C1F">
        <w:rPr>
          <w:szCs w:val="20"/>
          <w:lang w:val="nl-NL"/>
        </w:rPr>
        <w:t xml:space="preserve"> corticosteroïden</w:t>
      </w:r>
      <w:r w:rsidR="007A6A11" w:rsidRPr="00996C1F">
        <w:rPr>
          <w:szCs w:val="20"/>
          <w:lang w:val="nl-NL"/>
        </w:rPr>
        <w:t xml:space="preserve"> is aangetoond dat ze in de moedermelk worden uitgescheiden en het risico op schisis bij humane foetussen licht (met 1 %) verhogen. Kinderen van moeders die tijdens de zwangerschap substantiële doses corticosteroïden hebben gebruikt, moeten zorgvuldig geobserveerd worden voor tekenen van bijniersuppressie. </w:t>
      </w:r>
    </w:p>
    <w:p w14:paraId="6368811F" w14:textId="77777777" w:rsidR="001605F1" w:rsidRPr="00436435" w:rsidRDefault="001605F1">
      <w:pPr>
        <w:ind w:left="681"/>
        <w:rPr>
          <w:lang w:val="nl-BE"/>
        </w:rPr>
      </w:pPr>
    </w:p>
    <w:p w14:paraId="3B2E5C1A" w14:textId="77777777" w:rsidR="004F2AD8" w:rsidRPr="00436435" w:rsidRDefault="004F2AD8">
      <w:pPr>
        <w:rPr>
          <w:rFonts w:ascii="Univers" w:hAnsi="Univers"/>
          <w:lang w:val="nl-BE"/>
        </w:rPr>
      </w:pPr>
    </w:p>
    <w:p w14:paraId="7C90231D" w14:textId="25976252" w:rsidR="004F2AD8" w:rsidRPr="00017F88" w:rsidRDefault="004F2AD8">
      <w:pPr>
        <w:pStyle w:val="Heading3"/>
        <w:tabs>
          <w:tab w:val="left" w:pos="7200"/>
        </w:tabs>
        <w:rPr>
          <w:b/>
          <w:u w:val="none"/>
          <w:lang w:val="nl-NL"/>
        </w:rPr>
      </w:pPr>
      <w:r w:rsidRPr="00017F88">
        <w:rPr>
          <w:b/>
          <w:u w:val="none"/>
          <w:lang w:val="nl-NL"/>
        </w:rPr>
        <w:t>4.7</w:t>
      </w:r>
      <w:r w:rsidRPr="00017F88">
        <w:rPr>
          <w:b/>
          <w:u w:val="none"/>
          <w:lang w:val="nl-NL"/>
        </w:rPr>
        <w:tab/>
        <w:t>Beïnvloeding van de rijvaardigheid en het vermogen om machines te bedienen</w:t>
      </w:r>
    </w:p>
    <w:p w14:paraId="40A00F4A" w14:textId="77777777" w:rsidR="004F2AD8" w:rsidRPr="00996C1F" w:rsidRDefault="004F2AD8">
      <w:pPr>
        <w:tabs>
          <w:tab w:val="left" w:pos="7200"/>
        </w:tabs>
        <w:ind w:left="681"/>
        <w:rPr>
          <w:lang w:val="nl-NL"/>
        </w:rPr>
      </w:pPr>
    </w:p>
    <w:p w14:paraId="5777582F" w14:textId="77777777" w:rsidR="004F2AD8" w:rsidRPr="00996C1F" w:rsidRDefault="004F2AD8">
      <w:pPr>
        <w:tabs>
          <w:tab w:val="left" w:pos="-1440"/>
        </w:tabs>
        <w:ind w:left="681"/>
        <w:rPr>
          <w:lang w:val="nl-NL"/>
        </w:rPr>
      </w:pPr>
      <w:r w:rsidRPr="00996C1F">
        <w:rPr>
          <w:lang w:val="nl-NL"/>
        </w:rPr>
        <w:t>Uitzonderlijk werden centrale effecten vastgesteld bij toediening van hoge dosissen corticosteroïden.  Enkele zeldzame gevallen van spierzwakte en oogaantasting werden vastgesteld bij een langdurige corticosteroïdenbehandeling. In geval dergelijke effecten waargenomen worden, moeten de patiënten gewaarschuwd worden in verband met hun rijvaardigheid of het bedienen van zware machines.</w:t>
      </w:r>
    </w:p>
    <w:p w14:paraId="187ED5CC" w14:textId="77777777" w:rsidR="004F2AD8" w:rsidRPr="00996C1F" w:rsidRDefault="004F2AD8">
      <w:pPr>
        <w:ind w:left="681"/>
        <w:rPr>
          <w:lang w:val="nl-NL"/>
        </w:rPr>
      </w:pPr>
    </w:p>
    <w:p w14:paraId="54DCBAF7" w14:textId="77777777" w:rsidR="004F2AD8" w:rsidRPr="00017F88" w:rsidRDefault="004F2AD8">
      <w:pPr>
        <w:pStyle w:val="Heading3"/>
        <w:rPr>
          <w:b/>
          <w:u w:val="none"/>
          <w:lang w:val="nl-NL"/>
        </w:rPr>
      </w:pPr>
      <w:r w:rsidRPr="00017F88">
        <w:rPr>
          <w:b/>
          <w:u w:val="none"/>
          <w:lang w:val="nl-NL"/>
        </w:rPr>
        <w:t>4.8</w:t>
      </w:r>
      <w:r w:rsidRPr="00017F88">
        <w:rPr>
          <w:b/>
          <w:u w:val="none"/>
          <w:lang w:val="nl-NL"/>
        </w:rPr>
        <w:tab/>
        <w:t>Bijwerkingen</w:t>
      </w:r>
    </w:p>
    <w:p w14:paraId="32FD76FD" w14:textId="77777777" w:rsidR="004F2AD8" w:rsidRPr="00996C1F" w:rsidRDefault="004F2AD8" w:rsidP="007B5C53">
      <w:pPr>
        <w:ind w:left="681"/>
        <w:rPr>
          <w:lang w:val="nl-NL"/>
        </w:rPr>
      </w:pPr>
    </w:p>
    <w:p w14:paraId="40CA98E8" w14:textId="77777777" w:rsidR="0043727E" w:rsidRPr="00996C1F" w:rsidRDefault="0043727E" w:rsidP="0043727E">
      <w:pPr>
        <w:ind w:left="681"/>
        <w:rPr>
          <w:noProof/>
          <w:lang w:val="nl"/>
        </w:rPr>
      </w:pPr>
      <w:r w:rsidRPr="00996C1F">
        <w:rPr>
          <w:lang w:val="nl-NL"/>
        </w:rPr>
        <w:t>De frequentie van de hieronder vermelde bijwerkingen is als volgt gedefinieerd: zeer vaak (≥ 1/10), vaak (≥ 1/100, &lt; 1/10), soms  (≥ 1/1.000, &lt; 1/100), zelden (≥ 1/10.000 , &lt; 1/1.000), zeer zelden (&lt; 1/10.000) ,niet bekend (kan met de beschikbare gegevens niet worden bepaald).</w:t>
      </w:r>
      <w:r w:rsidRPr="00996C1F">
        <w:rPr>
          <w:noProof/>
          <w:lang w:val="nl"/>
        </w:rPr>
        <w:t xml:space="preserve"> Binnen iedere frequentiegroep worden bijwerkingen gerangschikt naar afnemende ernst.</w:t>
      </w:r>
    </w:p>
    <w:p w14:paraId="3758E3AF" w14:textId="77777777" w:rsidR="0043727E" w:rsidRPr="00996C1F" w:rsidRDefault="0043727E" w:rsidP="0043727E">
      <w:pPr>
        <w:ind w:left="681"/>
        <w:rPr>
          <w:noProof/>
          <w:lang w:val="nl"/>
        </w:rPr>
      </w:pPr>
    </w:p>
    <w:p w14:paraId="68237D86" w14:textId="77777777" w:rsidR="0078562A" w:rsidRPr="00996C1F" w:rsidRDefault="0078562A" w:rsidP="0078562A">
      <w:pPr>
        <w:ind w:left="681"/>
        <w:rPr>
          <w:lang w:val="nl-NL"/>
        </w:rPr>
      </w:pPr>
      <w:r w:rsidRPr="00996C1F">
        <w:rPr>
          <w:lang w:val="nl-NL"/>
        </w:rPr>
        <w:lastRenderedPageBreak/>
        <w:t xml:space="preserve">Gezien er een systemische absorptie is na intra-articulaire of andere plaatselijke toediening, moeten de patiënten nauwlettend gevolgd worden met het oog op het opsporen van de volgende ongewenste reacties die </w:t>
      </w:r>
      <w:r w:rsidRPr="00996C1F">
        <w:rPr>
          <w:u w:val="single"/>
          <w:lang w:val="nl-NL"/>
        </w:rPr>
        <w:t>gepaard kunnen gaan met een behandeling met alle corticosteroïden</w:t>
      </w:r>
      <w:r w:rsidRPr="00996C1F">
        <w:rPr>
          <w:lang w:val="nl-NL"/>
        </w:rPr>
        <w:t>:</w:t>
      </w:r>
    </w:p>
    <w:p w14:paraId="34936C6D" w14:textId="77777777" w:rsidR="00EF3A34" w:rsidRPr="00996C1F" w:rsidRDefault="00EF3A34" w:rsidP="0078562A">
      <w:pPr>
        <w:ind w:left="681"/>
        <w:rPr>
          <w:lang w:val="nl-NL"/>
        </w:rPr>
      </w:pPr>
    </w:p>
    <w:p w14:paraId="16B356E9" w14:textId="77777777" w:rsidR="00EF3A34" w:rsidRPr="00996C1F" w:rsidRDefault="00EF3A34" w:rsidP="0078562A">
      <w:pPr>
        <w:ind w:left="681"/>
        <w:rPr>
          <w:noProof/>
          <w:lang w:val="nl"/>
        </w:rPr>
      </w:pPr>
    </w:p>
    <w:tbl>
      <w:tblPr>
        <w:tblW w:w="90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3"/>
        <w:gridCol w:w="1507"/>
        <w:gridCol w:w="3623"/>
      </w:tblGrid>
      <w:tr w:rsidR="00EF3A34" w:rsidRPr="00996C1F" w14:paraId="66E571F9" w14:textId="77777777" w:rsidTr="00017F88">
        <w:tc>
          <w:tcPr>
            <w:tcW w:w="3893" w:type="dxa"/>
          </w:tcPr>
          <w:p w14:paraId="7919DCCB" w14:textId="77777777" w:rsidR="00EF3A34" w:rsidRPr="00996C1F" w:rsidRDefault="00EF3A34" w:rsidP="008C4B95">
            <w:pPr>
              <w:pStyle w:val="EMEABodyText"/>
              <w:tabs>
                <w:tab w:val="left" w:pos="3960"/>
              </w:tabs>
              <w:ind w:left="-18"/>
              <w:rPr>
                <w:b/>
                <w:i/>
                <w:sz w:val="24"/>
                <w:szCs w:val="24"/>
                <w:lang w:val="nl-NL"/>
              </w:rPr>
            </w:pPr>
            <w:r w:rsidRPr="00996C1F">
              <w:rPr>
                <w:b/>
                <w:i/>
                <w:sz w:val="24"/>
                <w:szCs w:val="24"/>
                <w:lang w:val="nl-NL"/>
              </w:rPr>
              <w:t>Systeem Orgaan Klasse</w:t>
            </w:r>
          </w:p>
        </w:tc>
        <w:tc>
          <w:tcPr>
            <w:tcW w:w="1507" w:type="dxa"/>
          </w:tcPr>
          <w:p w14:paraId="703841C4" w14:textId="77777777" w:rsidR="00EF3A34" w:rsidRPr="00996C1F" w:rsidRDefault="00017F88" w:rsidP="008C4B95">
            <w:pPr>
              <w:pStyle w:val="EMEABodyText"/>
              <w:tabs>
                <w:tab w:val="left" w:pos="3960"/>
              </w:tabs>
              <w:rPr>
                <w:b/>
                <w:sz w:val="24"/>
                <w:szCs w:val="24"/>
                <w:lang w:val="nl-NL"/>
              </w:rPr>
            </w:pPr>
            <w:r>
              <w:rPr>
                <w:b/>
                <w:sz w:val="24"/>
                <w:szCs w:val="24"/>
                <w:lang w:val="nl-NL"/>
              </w:rPr>
              <w:t>F</w:t>
            </w:r>
            <w:r w:rsidR="00EF3A34" w:rsidRPr="00996C1F">
              <w:rPr>
                <w:b/>
                <w:sz w:val="24"/>
                <w:szCs w:val="24"/>
                <w:lang w:val="nl-NL"/>
              </w:rPr>
              <w:t>requentie</w:t>
            </w:r>
          </w:p>
        </w:tc>
        <w:tc>
          <w:tcPr>
            <w:tcW w:w="3623" w:type="dxa"/>
          </w:tcPr>
          <w:p w14:paraId="393FFD4E" w14:textId="77777777" w:rsidR="00EF3A34" w:rsidRPr="00996C1F" w:rsidRDefault="00EF3A34" w:rsidP="008C4B95">
            <w:pPr>
              <w:pStyle w:val="EMEABodyText"/>
              <w:tabs>
                <w:tab w:val="left" w:pos="1890"/>
              </w:tabs>
              <w:rPr>
                <w:b/>
                <w:sz w:val="24"/>
                <w:szCs w:val="24"/>
                <w:lang w:val="nl-NL"/>
              </w:rPr>
            </w:pPr>
            <w:r w:rsidRPr="00996C1F">
              <w:rPr>
                <w:b/>
                <w:sz w:val="24"/>
                <w:szCs w:val="24"/>
                <w:lang w:val="nl-NL"/>
              </w:rPr>
              <w:t xml:space="preserve">Bijwerkingen </w:t>
            </w:r>
          </w:p>
        </w:tc>
      </w:tr>
      <w:tr w:rsidR="00EF3A34" w:rsidRPr="000852AA" w14:paraId="3D10FB88" w14:textId="77777777" w:rsidTr="00017F88">
        <w:tc>
          <w:tcPr>
            <w:tcW w:w="3893" w:type="dxa"/>
          </w:tcPr>
          <w:p w14:paraId="0B525918" w14:textId="77777777" w:rsidR="00EF3A34" w:rsidRPr="00996C1F" w:rsidRDefault="00EF3A34" w:rsidP="008C4B95">
            <w:pPr>
              <w:pStyle w:val="EMEABodyText"/>
              <w:tabs>
                <w:tab w:val="left" w:pos="3960"/>
              </w:tabs>
              <w:ind w:left="-18"/>
              <w:rPr>
                <w:i/>
                <w:sz w:val="24"/>
                <w:szCs w:val="24"/>
                <w:lang w:val="nl-NL"/>
              </w:rPr>
            </w:pPr>
            <w:r w:rsidRPr="00996C1F">
              <w:rPr>
                <w:i/>
                <w:sz w:val="24"/>
                <w:szCs w:val="24"/>
                <w:lang w:val="nl-NL"/>
              </w:rPr>
              <w:t>Infecties en parasitaire aandoeningen</w:t>
            </w:r>
          </w:p>
        </w:tc>
        <w:tc>
          <w:tcPr>
            <w:tcW w:w="1507" w:type="dxa"/>
          </w:tcPr>
          <w:p w14:paraId="713095F4" w14:textId="77777777" w:rsidR="00EF3A34" w:rsidRPr="00996C1F" w:rsidRDefault="00EF3A34" w:rsidP="008C4B95">
            <w:pPr>
              <w:pStyle w:val="EMEABodyText"/>
              <w:tabs>
                <w:tab w:val="left" w:pos="3960"/>
              </w:tabs>
              <w:rPr>
                <w:sz w:val="24"/>
                <w:szCs w:val="24"/>
                <w:lang w:val="nl-NL"/>
              </w:rPr>
            </w:pPr>
            <w:r w:rsidRPr="00996C1F">
              <w:rPr>
                <w:sz w:val="24"/>
                <w:szCs w:val="24"/>
                <w:lang w:val="nl-NL"/>
              </w:rPr>
              <w:t>Vaak</w:t>
            </w:r>
          </w:p>
        </w:tc>
        <w:tc>
          <w:tcPr>
            <w:tcW w:w="3623" w:type="dxa"/>
          </w:tcPr>
          <w:p w14:paraId="6FF5A03B" w14:textId="3BA3BCF4" w:rsidR="00EF3A34" w:rsidRPr="00996C1F" w:rsidRDefault="00EF3A34" w:rsidP="008C4B95">
            <w:pPr>
              <w:pStyle w:val="EMEABodyText"/>
              <w:tabs>
                <w:tab w:val="left" w:pos="1890"/>
              </w:tabs>
              <w:rPr>
                <w:sz w:val="24"/>
                <w:szCs w:val="24"/>
                <w:lang w:val="nl-NL"/>
              </w:rPr>
            </w:pPr>
            <w:r w:rsidRPr="00996C1F">
              <w:rPr>
                <w:sz w:val="24"/>
                <w:szCs w:val="24"/>
                <w:lang w:val="nl-NL"/>
              </w:rPr>
              <w:t>(oportunistische) infecties, , een verminderde weerstand tegen infecties</w:t>
            </w:r>
            <w:r w:rsidRPr="00996C1F">
              <w:rPr>
                <w:sz w:val="24"/>
                <w:szCs w:val="24"/>
                <w:vertAlign w:val="superscript"/>
                <w:lang w:val="nl-NL"/>
              </w:rPr>
              <w:t>a</w:t>
            </w:r>
            <w:r w:rsidRPr="00996C1F">
              <w:rPr>
                <w:sz w:val="24"/>
                <w:szCs w:val="24"/>
                <w:lang w:val="nl-NL"/>
              </w:rPr>
              <w:t>, verergering van een bestaande virose (met name herpes ophthalmicus), verergering van een latente bacteriële infectie</w:t>
            </w:r>
          </w:p>
        </w:tc>
      </w:tr>
      <w:tr w:rsidR="00EF3A34" w:rsidRPr="000852AA" w14:paraId="38A91F2A" w14:textId="77777777" w:rsidTr="00017F88">
        <w:tc>
          <w:tcPr>
            <w:tcW w:w="3893" w:type="dxa"/>
          </w:tcPr>
          <w:p w14:paraId="4F8E733C" w14:textId="77777777" w:rsidR="00EF3A34" w:rsidRPr="00996C1F" w:rsidRDefault="00EF3A34" w:rsidP="008C4B95">
            <w:pPr>
              <w:pStyle w:val="EMEABodyText"/>
              <w:tabs>
                <w:tab w:val="left" w:pos="3960"/>
              </w:tabs>
              <w:ind w:left="-18"/>
              <w:rPr>
                <w:i/>
                <w:sz w:val="24"/>
                <w:szCs w:val="24"/>
                <w:lang w:val="nl-NL"/>
              </w:rPr>
            </w:pPr>
          </w:p>
        </w:tc>
        <w:tc>
          <w:tcPr>
            <w:tcW w:w="1507" w:type="dxa"/>
          </w:tcPr>
          <w:p w14:paraId="26E7B50B" w14:textId="77777777" w:rsidR="00EF3A34" w:rsidRPr="00996C1F" w:rsidDel="00B61269" w:rsidRDefault="00EF3A34" w:rsidP="008C4B95">
            <w:pPr>
              <w:pStyle w:val="EMEABodyText"/>
              <w:tabs>
                <w:tab w:val="left" w:pos="3960"/>
              </w:tabs>
              <w:rPr>
                <w:sz w:val="24"/>
                <w:szCs w:val="24"/>
                <w:lang w:val="nl-NL"/>
              </w:rPr>
            </w:pPr>
            <w:r w:rsidRPr="00996C1F">
              <w:rPr>
                <w:sz w:val="24"/>
                <w:szCs w:val="24"/>
                <w:lang w:val="nl-NL"/>
              </w:rPr>
              <w:t>Soms</w:t>
            </w:r>
          </w:p>
        </w:tc>
        <w:tc>
          <w:tcPr>
            <w:tcW w:w="3623" w:type="dxa"/>
          </w:tcPr>
          <w:p w14:paraId="22191E38" w14:textId="77777777" w:rsidR="00EF3A34" w:rsidRPr="00996C1F" w:rsidRDefault="00EF3A34" w:rsidP="008C4B95">
            <w:pPr>
              <w:pStyle w:val="EMEABodyText"/>
              <w:tabs>
                <w:tab w:val="left" w:pos="1890"/>
              </w:tabs>
              <w:rPr>
                <w:sz w:val="24"/>
                <w:szCs w:val="24"/>
                <w:lang w:val="nl-NL"/>
              </w:rPr>
            </w:pPr>
            <w:r w:rsidRPr="00996C1F">
              <w:rPr>
                <w:sz w:val="24"/>
                <w:szCs w:val="24"/>
                <w:lang w:val="nl-NL"/>
              </w:rPr>
              <w:t>een vermindering van de klinische symptomen van de infectie</w:t>
            </w:r>
          </w:p>
        </w:tc>
      </w:tr>
      <w:tr w:rsidR="00EF3A34" w:rsidRPr="000852AA" w14:paraId="39416459" w14:textId="77777777" w:rsidTr="00017F88">
        <w:tc>
          <w:tcPr>
            <w:tcW w:w="3893" w:type="dxa"/>
          </w:tcPr>
          <w:p w14:paraId="4B1D5969" w14:textId="77777777" w:rsidR="00EF3A34" w:rsidRPr="00996C1F" w:rsidRDefault="00EF3A34" w:rsidP="008C4B95">
            <w:pPr>
              <w:pStyle w:val="EMEABodyText"/>
              <w:tabs>
                <w:tab w:val="left" w:pos="3960"/>
              </w:tabs>
              <w:ind w:left="-18"/>
              <w:rPr>
                <w:i/>
                <w:sz w:val="24"/>
                <w:szCs w:val="24"/>
                <w:lang w:val="nl-NL"/>
              </w:rPr>
            </w:pPr>
            <w:r w:rsidRPr="00996C1F">
              <w:rPr>
                <w:i/>
                <w:sz w:val="24"/>
                <w:szCs w:val="24"/>
                <w:lang w:val="nl-NL"/>
              </w:rPr>
              <w:t>Bloed- en lymfestelselaandoeningen</w:t>
            </w:r>
          </w:p>
        </w:tc>
        <w:tc>
          <w:tcPr>
            <w:tcW w:w="1507" w:type="dxa"/>
          </w:tcPr>
          <w:p w14:paraId="3FFBF21A" w14:textId="77777777" w:rsidR="00EF3A34" w:rsidRPr="00996C1F" w:rsidDel="00B61269" w:rsidRDefault="00EF3A34" w:rsidP="008C4B95">
            <w:pPr>
              <w:pStyle w:val="EMEABodyText"/>
              <w:tabs>
                <w:tab w:val="left" w:pos="3960"/>
              </w:tabs>
              <w:rPr>
                <w:sz w:val="24"/>
                <w:szCs w:val="24"/>
                <w:lang w:val="nl-NL"/>
              </w:rPr>
            </w:pPr>
            <w:r w:rsidRPr="00996C1F">
              <w:rPr>
                <w:sz w:val="24"/>
                <w:szCs w:val="24"/>
                <w:lang w:val="nl-NL"/>
              </w:rPr>
              <w:t>Niet bekend</w:t>
            </w:r>
          </w:p>
        </w:tc>
        <w:tc>
          <w:tcPr>
            <w:tcW w:w="3623" w:type="dxa"/>
          </w:tcPr>
          <w:p w14:paraId="3F83AAEF" w14:textId="1394BC54" w:rsidR="00EF3A34" w:rsidRPr="00996C1F" w:rsidRDefault="00EF3A34" w:rsidP="008C4B95">
            <w:pPr>
              <w:tabs>
                <w:tab w:val="left" w:pos="0"/>
                <w:tab w:val="left" w:pos="850"/>
                <w:tab w:val="left" w:pos="1701"/>
                <w:tab w:val="left" w:pos="2552"/>
                <w:tab w:val="left" w:pos="3403"/>
                <w:tab w:val="left" w:pos="4254"/>
                <w:tab w:val="left" w:pos="5104"/>
                <w:tab w:val="left" w:pos="5955"/>
                <w:tab w:val="left" w:pos="6806"/>
                <w:tab w:val="left" w:pos="7657"/>
                <w:tab w:val="left" w:pos="8508"/>
              </w:tabs>
              <w:rPr>
                <w:lang w:val="nl-NL"/>
              </w:rPr>
            </w:pPr>
            <w:r w:rsidRPr="00996C1F">
              <w:rPr>
                <w:lang w:val="nl-NL"/>
              </w:rPr>
              <w:t>leukocytose, trombocytopenie bij hoge dosissen</w:t>
            </w:r>
          </w:p>
        </w:tc>
      </w:tr>
      <w:tr w:rsidR="00EF3A34" w:rsidRPr="00996C1F" w14:paraId="2BF90988" w14:textId="77777777" w:rsidTr="00017F88">
        <w:tc>
          <w:tcPr>
            <w:tcW w:w="3893" w:type="dxa"/>
          </w:tcPr>
          <w:p w14:paraId="1CB375CA" w14:textId="77777777" w:rsidR="00EF3A34" w:rsidRPr="00996C1F" w:rsidRDefault="00EF3A34" w:rsidP="008C4B95">
            <w:pPr>
              <w:pStyle w:val="EMEABodyText"/>
              <w:tabs>
                <w:tab w:val="left" w:pos="3960"/>
              </w:tabs>
              <w:ind w:left="-18"/>
              <w:rPr>
                <w:i/>
                <w:sz w:val="24"/>
                <w:szCs w:val="24"/>
                <w:lang w:val="nl-NL"/>
              </w:rPr>
            </w:pPr>
            <w:r w:rsidRPr="00996C1F">
              <w:rPr>
                <w:i/>
                <w:sz w:val="24"/>
                <w:szCs w:val="24"/>
                <w:lang w:val="nl-NL"/>
              </w:rPr>
              <w:t>Immuunsysteemaandoeningen</w:t>
            </w:r>
          </w:p>
        </w:tc>
        <w:tc>
          <w:tcPr>
            <w:tcW w:w="1507" w:type="dxa"/>
          </w:tcPr>
          <w:p w14:paraId="2BBA767D" w14:textId="77777777" w:rsidR="00EF3A34" w:rsidRPr="00996C1F" w:rsidDel="00B61269" w:rsidRDefault="00EF3A34" w:rsidP="008C4B95">
            <w:pPr>
              <w:pStyle w:val="EMEABodyText"/>
              <w:tabs>
                <w:tab w:val="left" w:pos="3960"/>
              </w:tabs>
              <w:rPr>
                <w:sz w:val="24"/>
                <w:szCs w:val="24"/>
                <w:lang w:val="nl-NL"/>
              </w:rPr>
            </w:pPr>
            <w:r w:rsidRPr="00996C1F">
              <w:rPr>
                <w:sz w:val="24"/>
                <w:szCs w:val="24"/>
                <w:lang w:val="nl-NL"/>
              </w:rPr>
              <w:t>Soms</w:t>
            </w:r>
          </w:p>
        </w:tc>
        <w:tc>
          <w:tcPr>
            <w:tcW w:w="3623" w:type="dxa"/>
          </w:tcPr>
          <w:p w14:paraId="2B60646A" w14:textId="77777777" w:rsidR="00EF3A34" w:rsidRPr="00996C1F" w:rsidDel="00843C16" w:rsidRDefault="00EF3A34" w:rsidP="008C4B95">
            <w:pPr>
              <w:tabs>
                <w:tab w:val="left" w:pos="0"/>
                <w:tab w:val="left" w:pos="850"/>
                <w:tab w:val="left" w:pos="1701"/>
                <w:tab w:val="left" w:pos="2552"/>
                <w:tab w:val="left" w:pos="3403"/>
                <w:tab w:val="left" w:pos="4254"/>
                <w:tab w:val="left" w:pos="5104"/>
                <w:tab w:val="left" w:pos="5955"/>
                <w:tab w:val="left" w:pos="6806"/>
                <w:tab w:val="left" w:pos="7657"/>
                <w:tab w:val="left" w:pos="8508"/>
              </w:tabs>
              <w:rPr>
                <w:lang w:val="nl-NL"/>
              </w:rPr>
            </w:pPr>
            <w:r w:rsidRPr="00996C1F">
              <w:rPr>
                <w:lang w:val="nl-NL"/>
              </w:rPr>
              <w:t>anafylactische reacties, anafylactische shock</w:t>
            </w:r>
          </w:p>
        </w:tc>
      </w:tr>
      <w:tr w:rsidR="00EF3A34" w:rsidRPr="000852AA" w14:paraId="70B1E7DA" w14:textId="77777777" w:rsidTr="00164FF6">
        <w:trPr>
          <w:trHeight w:val="2029"/>
        </w:trPr>
        <w:tc>
          <w:tcPr>
            <w:tcW w:w="3893" w:type="dxa"/>
          </w:tcPr>
          <w:p w14:paraId="0BEF63C7" w14:textId="77777777" w:rsidR="00EF3A34" w:rsidRPr="00996C1F" w:rsidRDefault="00EF3A34" w:rsidP="008C4B95">
            <w:pPr>
              <w:pStyle w:val="EMEABodyText"/>
              <w:tabs>
                <w:tab w:val="left" w:pos="3960"/>
              </w:tabs>
              <w:ind w:left="-18"/>
              <w:rPr>
                <w:i/>
                <w:sz w:val="24"/>
                <w:szCs w:val="24"/>
                <w:lang w:val="nl-NL"/>
              </w:rPr>
            </w:pPr>
            <w:r w:rsidRPr="00996C1F">
              <w:rPr>
                <w:i/>
                <w:sz w:val="24"/>
                <w:szCs w:val="24"/>
                <w:lang w:val="nl-NL"/>
              </w:rPr>
              <w:t>Endocriene aandoeningen</w:t>
            </w:r>
          </w:p>
        </w:tc>
        <w:tc>
          <w:tcPr>
            <w:tcW w:w="1507" w:type="dxa"/>
          </w:tcPr>
          <w:p w14:paraId="79D373B3" w14:textId="77777777" w:rsidR="00EF3A34" w:rsidRPr="00996C1F" w:rsidRDefault="00EF3A34" w:rsidP="008C4B95">
            <w:pPr>
              <w:pStyle w:val="EMEABodyText"/>
              <w:tabs>
                <w:tab w:val="left" w:pos="3960"/>
              </w:tabs>
              <w:rPr>
                <w:sz w:val="24"/>
                <w:szCs w:val="24"/>
                <w:lang w:val="nl-NL"/>
              </w:rPr>
            </w:pPr>
            <w:r w:rsidRPr="00996C1F">
              <w:rPr>
                <w:sz w:val="24"/>
                <w:szCs w:val="24"/>
                <w:lang w:val="nl-NL"/>
              </w:rPr>
              <w:t>Soms</w:t>
            </w:r>
          </w:p>
        </w:tc>
        <w:tc>
          <w:tcPr>
            <w:tcW w:w="3623" w:type="dxa"/>
          </w:tcPr>
          <w:p w14:paraId="400A92E3" w14:textId="77777777" w:rsidR="00EF3A34" w:rsidRPr="00996C1F" w:rsidRDefault="00EF3A34" w:rsidP="008C4B95">
            <w:pPr>
              <w:tabs>
                <w:tab w:val="left" w:pos="0"/>
                <w:tab w:val="left" w:pos="850"/>
                <w:tab w:val="left" w:pos="1701"/>
                <w:tab w:val="left" w:pos="2552"/>
                <w:tab w:val="left" w:pos="3403"/>
                <w:tab w:val="left" w:pos="4254"/>
                <w:tab w:val="left" w:pos="5104"/>
                <w:tab w:val="left" w:pos="5955"/>
                <w:tab w:val="left" w:pos="6806"/>
                <w:tab w:val="left" w:pos="7657"/>
                <w:tab w:val="left" w:pos="8508"/>
              </w:tabs>
              <w:rPr>
                <w:lang w:val="nl-NL"/>
              </w:rPr>
            </w:pPr>
            <w:r w:rsidRPr="00996C1F">
              <w:rPr>
                <w:lang w:val="nl-NL"/>
              </w:rPr>
              <w:t xml:space="preserve">onregelmatige maandstonden, </w:t>
            </w:r>
            <w:r w:rsidR="00D864DF" w:rsidRPr="00996C1F">
              <w:rPr>
                <w:lang w:val="nl-NL"/>
              </w:rPr>
              <w:t xml:space="preserve">amenorroe, vaginaal bloedverlies bij postmenopauzale vrouwen, </w:t>
            </w:r>
            <w:r w:rsidRPr="00996C1F">
              <w:rPr>
                <w:lang w:val="nl-NL"/>
              </w:rPr>
              <w:t>optreden van een Cushingoïde toestand, afwezigheid van secundaire cortico-adrenale en hypofysaire reactie</w:t>
            </w:r>
            <w:r w:rsidRPr="00996C1F">
              <w:rPr>
                <w:vertAlign w:val="superscript"/>
                <w:lang w:val="nl-NL"/>
              </w:rPr>
              <w:t>b</w:t>
            </w:r>
          </w:p>
        </w:tc>
      </w:tr>
      <w:tr w:rsidR="00EF3A34" w:rsidRPr="000852AA" w14:paraId="0F082C1D" w14:textId="77777777" w:rsidTr="00017F88">
        <w:tc>
          <w:tcPr>
            <w:tcW w:w="3893" w:type="dxa"/>
          </w:tcPr>
          <w:p w14:paraId="74188AC8" w14:textId="77777777" w:rsidR="00EF3A34" w:rsidRPr="00996C1F" w:rsidRDefault="00EF3A34" w:rsidP="008C4B95">
            <w:pPr>
              <w:pStyle w:val="EMEABodyText"/>
              <w:tabs>
                <w:tab w:val="left" w:pos="3960"/>
              </w:tabs>
              <w:ind w:left="-18"/>
              <w:rPr>
                <w:i/>
                <w:sz w:val="24"/>
                <w:szCs w:val="24"/>
                <w:lang w:val="nl-NL"/>
              </w:rPr>
            </w:pPr>
          </w:p>
        </w:tc>
        <w:tc>
          <w:tcPr>
            <w:tcW w:w="1507" w:type="dxa"/>
          </w:tcPr>
          <w:p w14:paraId="6C910CC5" w14:textId="77777777" w:rsidR="00EF3A34" w:rsidRPr="00996C1F" w:rsidDel="00B61269" w:rsidRDefault="00EF3A34" w:rsidP="008C4B95">
            <w:pPr>
              <w:pStyle w:val="EMEABodyText"/>
              <w:tabs>
                <w:tab w:val="left" w:pos="3960"/>
              </w:tabs>
              <w:rPr>
                <w:sz w:val="24"/>
                <w:szCs w:val="24"/>
                <w:lang w:val="nl-NL"/>
              </w:rPr>
            </w:pPr>
            <w:r w:rsidRPr="00996C1F">
              <w:rPr>
                <w:sz w:val="24"/>
                <w:szCs w:val="24"/>
                <w:lang w:val="nl-NL"/>
              </w:rPr>
              <w:t>Niet bekend</w:t>
            </w:r>
          </w:p>
        </w:tc>
        <w:tc>
          <w:tcPr>
            <w:tcW w:w="3623" w:type="dxa"/>
          </w:tcPr>
          <w:p w14:paraId="13A3D3FC" w14:textId="77777777" w:rsidR="00EF3A34" w:rsidRPr="00996C1F" w:rsidRDefault="00EF3A34" w:rsidP="008C4B95">
            <w:pPr>
              <w:tabs>
                <w:tab w:val="left" w:pos="0"/>
                <w:tab w:val="left" w:pos="850"/>
                <w:tab w:val="left" w:pos="1701"/>
                <w:tab w:val="left" w:pos="2552"/>
                <w:tab w:val="left" w:pos="3403"/>
                <w:tab w:val="left" w:pos="4254"/>
                <w:tab w:val="left" w:pos="5104"/>
                <w:tab w:val="left" w:pos="5955"/>
                <w:tab w:val="left" w:pos="6806"/>
                <w:tab w:val="left" w:pos="7657"/>
                <w:tab w:val="left" w:pos="8508"/>
              </w:tabs>
              <w:rPr>
                <w:lang w:val="nl-NL"/>
              </w:rPr>
            </w:pPr>
            <w:r w:rsidRPr="00996C1F">
              <w:rPr>
                <w:lang w:val="nl-NL"/>
              </w:rPr>
              <w:t>groeistop bij kinderen, een secundaire hyperthyroïdie ten gevolge van een langdurig gebruik van corticosteroïden</w:t>
            </w:r>
            <w:r w:rsidRPr="00996C1F">
              <w:rPr>
                <w:u w:val="single"/>
                <w:vertAlign w:val="superscript"/>
                <w:lang w:val="nl-NL"/>
              </w:rPr>
              <w:t>c</w:t>
            </w:r>
          </w:p>
        </w:tc>
      </w:tr>
      <w:tr w:rsidR="00EF3A34" w:rsidRPr="000852AA" w14:paraId="5BE764F7" w14:textId="77777777" w:rsidTr="00017F88">
        <w:tc>
          <w:tcPr>
            <w:tcW w:w="3893" w:type="dxa"/>
          </w:tcPr>
          <w:p w14:paraId="4791058A" w14:textId="77777777" w:rsidR="00EF3A34" w:rsidRPr="00996C1F" w:rsidRDefault="00EF3A34" w:rsidP="008C4B95">
            <w:pPr>
              <w:pStyle w:val="EMEABodyText"/>
              <w:tabs>
                <w:tab w:val="left" w:pos="3960"/>
              </w:tabs>
              <w:ind w:left="-18"/>
              <w:rPr>
                <w:i/>
                <w:sz w:val="24"/>
                <w:szCs w:val="24"/>
                <w:lang w:val="nl-NL"/>
              </w:rPr>
            </w:pPr>
            <w:r w:rsidRPr="00996C1F">
              <w:rPr>
                <w:i/>
                <w:sz w:val="24"/>
                <w:szCs w:val="24"/>
                <w:lang w:val="nl-NL"/>
              </w:rPr>
              <w:t>Voedings- en stofwisselingsstoornissen</w:t>
            </w:r>
          </w:p>
        </w:tc>
        <w:tc>
          <w:tcPr>
            <w:tcW w:w="1507" w:type="dxa"/>
          </w:tcPr>
          <w:p w14:paraId="218E5108" w14:textId="77777777" w:rsidR="00EF3A34" w:rsidRPr="00996C1F" w:rsidRDefault="00EF3A34" w:rsidP="008C4B95">
            <w:pPr>
              <w:pStyle w:val="EMEABodyText"/>
              <w:tabs>
                <w:tab w:val="left" w:pos="3960"/>
              </w:tabs>
              <w:rPr>
                <w:sz w:val="24"/>
                <w:szCs w:val="24"/>
                <w:lang w:val="nl-NL"/>
              </w:rPr>
            </w:pPr>
            <w:r w:rsidRPr="00996C1F">
              <w:rPr>
                <w:sz w:val="24"/>
                <w:szCs w:val="24"/>
                <w:lang w:val="nl-NL"/>
              </w:rPr>
              <w:t>Soms</w:t>
            </w:r>
          </w:p>
        </w:tc>
        <w:tc>
          <w:tcPr>
            <w:tcW w:w="3623" w:type="dxa"/>
          </w:tcPr>
          <w:p w14:paraId="6BC767D6" w14:textId="77777777" w:rsidR="00EF3A34" w:rsidRPr="00996C1F" w:rsidRDefault="00EF3A34" w:rsidP="008C4B95">
            <w:pPr>
              <w:tabs>
                <w:tab w:val="left" w:pos="0"/>
                <w:tab w:val="left" w:pos="850"/>
                <w:tab w:val="left" w:pos="1701"/>
                <w:tab w:val="left" w:pos="2552"/>
                <w:tab w:val="left" w:pos="3403"/>
                <w:tab w:val="left" w:pos="4254"/>
                <w:tab w:val="left" w:pos="5104"/>
                <w:tab w:val="left" w:pos="5955"/>
                <w:tab w:val="left" w:pos="6806"/>
                <w:tab w:val="left" w:pos="7657"/>
                <w:tab w:val="left" w:pos="8508"/>
              </w:tabs>
              <w:rPr>
                <w:lang w:val="nl-NL"/>
              </w:rPr>
            </w:pPr>
            <w:r w:rsidRPr="00996C1F">
              <w:rPr>
                <w:lang w:val="nl-NL"/>
              </w:rPr>
              <w:t>hyperglycemie, natriumretentie, vochtretentie</w:t>
            </w:r>
            <w:r w:rsidRPr="00996C1F">
              <w:rPr>
                <w:vertAlign w:val="superscript"/>
                <w:lang w:val="nl-NL"/>
              </w:rPr>
              <w:t>d</w:t>
            </w:r>
            <w:r w:rsidRPr="00996C1F">
              <w:rPr>
                <w:lang w:val="nl-NL"/>
              </w:rPr>
              <w:t>, hypokalemische alkalose, tekens van latente diabetes en verhoogde behoefte aan insuline of aan orale hypoglykemierende middelen bij diabetes</w:t>
            </w:r>
          </w:p>
        </w:tc>
      </w:tr>
      <w:tr w:rsidR="00EF3A34" w:rsidRPr="000852AA" w14:paraId="4D15C865" w14:textId="77777777" w:rsidTr="00017F88">
        <w:tc>
          <w:tcPr>
            <w:tcW w:w="3893" w:type="dxa"/>
          </w:tcPr>
          <w:p w14:paraId="57194B0B" w14:textId="77777777" w:rsidR="00EF3A34" w:rsidRPr="00996C1F" w:rsidRDefault="00EF3A34" w:rsidP="008C4B95">
            <w:pPr>
              <w:pStyle w:val="EMEABodyText"/>
              <w:tabs>
                <w:tab w:val="left" w:pos="3960"/>
              </w:tabs>
              <w:ind w:left="-18"/>
              <w:rPr>
                <w:i/>
                <w:sz w:val="24"/>
                <w:szCs w:val="24"/>
                <w:lang w:val="nl-NL"/>
              </w:rPr>
            </w:pPr>
          </w:p>
        </w:tc>
        <w:tc>
          <w:tcPr>
            <w:tcW w:w="1507" w:type="dxa"/>
          </w:tcPr>
          <w:p w14:paraId="0060D3BF" w14:textId="77777777" w:rsidR="00EF3A34" w:rsidRPr="00996C1F" w:rsidRDefault="00EF3A34" w:rsidP="008C4B95">
            <w:pPr>
              <w:pStyle w:val="EMEABodyText"/>
              <w:tabs>
                <w:tab w:val="left" w:pos="3960"/>
              </w:tabs>
              <w:rPr>
                <w:sz w:val="24"/>
                <w:szCs w:val="24"/>
                <w:lang w:val="nl-NL"/>
              </w:rPr>
            </w:pPr>
            <w:r w:rsidRPr="00996C1F">
              <w:rPr>
                <w:sz w:val="24"/>
                <w:szCs w:val="24"/>
                <w:lang w:val="nl-NL"/>
              </w:rPr>
              <w:t>Niet bekend</w:t>
            </w:r>
          </w:p>
        </w:tc>
        <w:tc>
          <w:tcPr>
            <w:tcW w:w="3623" w:type="dxa"/>
          </w:tcPr>
          <w:p w14:paraId="1DA7E556" w14:textId="77777777" w:rsidR="00EF3A34" w:rsidRPr="00996C1F" w:rsidRDefault="00EF3A34" w:rsidP="008C4B95">
            <w:pPr>
              <w:tabs>
                <w:tab w:val="left" w:pos="0"/>
                <w:tab w:val="left" w:pos="850"/>
                <w:tab w:val="left" w:pos="1701"/>
                <w:tab w:val="left" w:pos="2552"/>
                <w:tab w:val="left" w:pos="3403"/>
                <w:tab w:val="left" w:pos="4254"/>
                <w:tab w:val="left" w:pos="5104"/>
                <w:tab w:val="left" w:pos="5955"/>
                <w:tab w:val="left" w:pos="6806"/>
                <w:tab w:val="left" w:pos="7657"/>
                <w:tab w:val="left" w:pos="8508"/>
              </w:tabs>
              <w:rPr>
                <w:lang w:val="nl-NL"/>
              </w:rPr>
            </w:pPr>
            <w:r w:rsidRPr="00996C1F">
              <w:rPr>
                <w:lang w:val="nl-NL"/>
              </w:rPr>
              <w:t>hypercholesterolemie (gemiddelde verhoging met 88 mg/100 ml van de plasmatische concentratie), stijging van de lipoproteïnes met lage densiteit, stijging van de triglyceridespiegel (gemiddelde stijging met 30 mg/100 ml van de plasmatische concentratie)</w:t>
            </w:r>
          </w:p>
        </w:tc>
      </w:tr>
      <w:tr w:rsidR="00EF3A34" w:rsidRPr="000852AA" w14:paraId="1A5B1D3F" w14:textId="77777777" w:rsidTr="00017F88">
        <w:tc>
          <w:tcPr>
            <w:tcW w:w="3893" w:type="dxa"/>
          </w:tcPr>
          <w:p w14:paraId="57B59CBD" w14:textId="77777777" w:rsidR="00EF3A34" w:rsidRPr="00996C1F" w:rsidRDefault="00EF3A34" w:rsidP="008C4B95">
            <w:pPr>
              <w:pStyle w:val="EMEABodyText"/>
              <w:tabs>
                <w:tab w:val="left" w:pos="3960"/>
              </w:tabs>
              <w:ind w:left="-18"/>
              <w:rPr>
                <w:i/>
                <w:sz w:val="24"/>
                <w:szCs w:val="24"/>
                <w:lang w:val="nl-NL"/>
              </w:rPr>
            </w:pPr>
            <w:r w:rsidRPr="00996C1F">
              <w:rPr>
                <w:i/>
                <w:sz w:val="24"/>
                <w:szCs w:val="24"/>
                <w:lang w:val="nl-NL"/>
              </w:rPr>
              <w:t>Psychische stoornissen</w:t>
            </w:r>
          </w:p>
        </w:tc>
        <w:tc>
          <w:tcPr>
            <w:tcW w:w="1507" w:type="dxa"/>
          </w:tcPr>
          <w:p w14:paraId="6D4AD487" w14:textId="77777777" w:rsidR="00EF3A34" w:rsidRPr="00996C1F" w:rsidRDefault="00EF3A34" w:rsidP="008C4B95">
            <w:pPr>
              <w:pStyle w:val="EMEABodyText"/>
              <w:tabs>
                <w:tab w:val="left" w:pos="3960"/>
              </w:tabs>
              <w:rPr>
                <w:sz w:val="24"/>
                <w:szCs w:val="24"/>
                <w:lang w:val="nl-NL"/>
              </w:rPr>
            </w:pPr>
            <w:r w:rsidRPr="00996C1F">
              <w:rPr>
                <w:sz w:val="24"/>
                <w:szCs w:val="24"/>
                <w:lang w:val="nl-NL"/>
              </w:rPr>
              <w:t>Soms</w:t>
            </w:r>
          </w:p>
        </w:tc>
        <w:tc>
          <w:tcPr>
            <w:tcW w:w="3623" w:type="dxa"/>
          </w:tcPr>
          <w:p w14:paraId="6AC81F06" w14:textId="77777777" w:rsidR="00EF3A34" w:rsidRPr="00996C1F" w:rsidRDefault="00EF3A34" w:rsidP="008C4B95">
            <w:pPr>
              <w:tabs>
                <w:tab w:val="left" w:pos="0"/>
                <w:tab w:val="left" w:pos="850"/>
                <w:tab w:val="left" w:pos="1701"/>
                <w:tab w:val="left" w:pos="2552"/>
                <w:tab w:val="left" w:pos="3403"/>
                <w:tab w:val="left" w:pos="4254"/>
                <w:tab w:val="left" w:pos="5104"/>
                <w:tab w:val="left" w:pos="5955"/>
                <w:tab w:val="left" w:pos="6806"/>
                <w:tab w:val="left" w:pos="7657"/>
                <w:tab w:val="left" w:pos="8508"/>
              </w:tabs>
              <w:rPr>
                <w:lang w:val="nl-NL"/>
              </w:rPr>
            </w:pPr>
            <w:r w:rsidRPr="00996C1F">
              <w:rPr>
                <w:lang w:val="nl-NL"/>
              </w:rPr>
              <w:t xml:space="preserve">slapeloosheid, verergering van bestaande psychiatrische ziektetoestanden, depressie (soms ernstig), euforie, wisselvallig humeur, psychotische symptomen </w:t>
            </w:r>
            <w:r w:rsidRPr="00996C1F">
              <w:rPr>
                <w:lang w:val="nl-NL"/>
              </w:rPr>
              <w:lastRenderedPageBreak/>
              <w:t>en wijzigingen van de persoonlijkheid</w:t>
            </w:r>
          </w:p>
        </w:tc>
      </w:tr>
      <w:tr w:rsidR="00EF3A34" w:rsidRPr="00996C1F" w14:paraId="312B8C22" w14:textId="77777777" w:rsidTr="00017F88">
        <w:tc>
          <w:tcPr>
            <w:tcW w:w="3893" w:type="dxa"/>
          </w:tcPr>
          <w:p w14:paraId="347DBB4D" w14:textId="77777777" w:rsidR="00EF3A34" w:rsidRPr="00996C1F" w:rsidRDefault="00EF3A34" w:rsidP="008C4B95">
            <w:pPr>
              <w:pStyle w:val="EMEABodyText"/>
              <w:tabs>
                <w:tab w:val="left" w:pos="3960"/>
              </w:tabs>
              <w:ind w:left="-18"/>
              <w:rPr>
                <w:i/>
                <w:sz w:val="24"/>
                <w:szCs w:val="24"/>
                <w:lang w:val="nl-NL"/>
              </w:rPr>
            </w:pPr>
            <w:r w:rsidRPr="00996C1F">
              <w:rPr>
                <w:i/>
                <w:sz w:val="24"/>
                <w:szCs w:val="24"/>
                <w:lang w:val="nl-NL"/>
              </w:rPr>
              <w:lastRenderedPageBreak/>
              <w:t>Zenuwstelselaandoeningen</w:t>
            </w:r>
          </w:p>
        </w:tc>
        <w:tc>
          <w:tcPr>
            <w:tcW w:w="1507" w:type="dxa"/>
          </w:tcPr>
          <w:p w14:paraId="56874267" w14:textId="77777777" w:rsidR="00EF3A34" w:rsidRPr="00996C1F" w:rsidRDefault="00EF3A34" w:rsidP="008C4B95">
            <w:pPr>
              <w:pStyle w:val="EMEABodyText"/>
              <w:tabs>
                <w:tab w:val="left" w:pos="3960"/>
              </w:tabs>
              <w:rPr>
                <w:sz w:val="24"/>
                <w:szCs w:val="24"/>
                <w:lang w:val="nl-NL"/>
              </w:rPr>
            </w:pPr>
            <w:r w:rsidRPr="00996C1F">
              <w:rPr>
                <w:sz w:val="24"/>
                <w:szCs w:val="24"/>
                <w:lang w:val="nl-NL"/>
              </w:rPr>
              <w:t>Vaak</w:t>
            </w:r>
          </w:p>
        </w:tc>
        <w:tc>
          <w:tcPr>
            <w:tcW w:w="3623" w:type="dxa"/>
          </w:tcPr>
          <w:p w14:paraId="1E0B438F" w14:textId="77777777" w:rsidR="00EF3A34" w:rsidRPr="00996C1F" w:rsidRDefault="00EF3A34" w:rsidP="008C4B95">
            <w:pPr>
              <w:tabs>
                <w:tab w:val="left" w:pos="0"/>
                <w:tab w:val="left" w:pos="850"/>
                <w:tab w:val="left" w:pos="1701"/>
                <w:tab w:val="left" w:pos="2552"/>
                <w:tab w:val="left" w:pos="3403"/>
                <w:tab w:val="left" w:pos="4254"/>
                <w:tab w:val="left" w:pos="5104"/>
                <w:tab w:val="left" w:pos="5955"/>
                <w:tab w:val="left" w:pos="6806"/>
                <w:tab w:val="left" w:pos="7657"/>
                <w:tab w:val="left" w:pos="8508"/>
              </w:tabs>
              <w:rPr>
                <w:lang w:val="nl-NL"/>
              </w:rPr>
            </w:pPr>
            <w:r w:rsidRPr="00996C1F">
              <w:rPr>
                <w:lang w:val="nl-NL"/>
              </w:rPr>
              <w:t>hoofdpijn</w:t>
            </w:r>
            <w:r w:rsidRPr="00996C1F" w:rsidDel="00C61B48">
              <w:rPr>
                <w:lang w:val="nl-NL"/>
              </w:rPr>
              <w:t xml:space="preserve"> </w:t>
            </w:r>
          </w:p>
        </w:tc>
      </w:tr>
      <w:tr w:rsidR="00EF3A34" w:rsidRPr="000852AA" w14:paraId="0DA2BCBC" w14:textId="77777777" w:rsidTr="00017F88">
        <w:tc>
          <w:tcPr>
            <w:tcW w:w="3893" w:type="dxa"/>
          </w:tcPr>
          <w:p w14:paraId="6EABBD41" w14:textId="77777777" w:rsidR="00EF3A34" w:rsidRPr="00996C1F" w:rsidRDefault="00EF3A34" w:rsidP="008C4B95">
            <w:pPr>
              <w:pStyle w:val="EMEABodyText"/>
              <w:tabs>
                <w:tab w:val="left" w:pos="3960"/>
              </w:tabs>
              <w:ind w:left="-18"/>
              <w:rPr>
                <w:i/>
                <w:sz w:val="24"/>
                <w:szCs w:val="24"/>
                <w:lang w:val="nl-NL"/>
              </w:rPr>
            </w:pPr>
          </w:p>
        </w:tc>
        <w:tc>
          <w:tcPr>
            <w:tcW w:w="1507" w:type="dxa"/>
          </w:tcPr>
          <w:p w14:paraId="4D885CB3" w14:textId="77777777" w:rsidR="00EF3A34" w:rsidRPr="00996C1F" w:rsidDel="00B61269" w:rsidRDefault="00EF3A34" w:rsidP="008C4B95">
            <w:pPr>
              <w:pStyle w:val="EMEABodyText"/>
              <w:tabs>
                <w:tab w:val="left" w:pos="3960"/>
              </w:tabs>
              <w:rPr>
                <w:sz w:val="24"/>
                <w:szCs w:val="24"/>
                <w:lang w:val="nl-NL"/>
              </w:rPr>
            </w:pPr>
            <w:r w:rsidRPr="00996C1F">
              <w:rPr>
                <w:sz w:val="24"/>
                <w:szCs w:val="24"/>
                <w:lang w:val="nl-NL"/>
              </w:rPr>
              <w:t>Soms</w:t>
            </w:r>
          </w:p>
        </w:tc>
        <w:tc>
          <w:tcPr>
            <w:tcW w:w="3623" w:type="dxa"/>
          </w:tcPr>
          <w:p w14:paraId="03592310" w14:textId="77777777" w:rsidR="00EF3A34" w:rsidRPr="00996C1F" w:rsidRDefault="00EF3A34" w:rsidP="008C4B95">
            <w:pPr>
              <w:tabs>
                <w:tab w:val="left" w:pos="0"/>
                <w:tab w:val="left" w:pos="850"/>
                <w:tab w:val="left" w:pos="1701"/>
                <w:tab w:val="left" w:pos="2552"/>
                <w:tab w:val="left" w:pos="3403"/>
                <w:tab w:val="left" w:pos="4254"/>
                <w:tab w:val="left" w:pos="5104"/>
                <w:tab w:val="left" w:pos="5955"/>
                <w:tab w:val="left" w:pos="6806"/>
                <w:tab w:val="left" w:pos="7657"/>
                <w:tab w:val="left" w:pos="8508"/>
              </w:tabs>
              <w:rPr>
                <w:lang w:val="nl-NL"/>
              </w:rPr>
            </w:pPr>
            <w:r w:rsidRPr="00996C1F">
              <w:rPr>
                <w:lang w:val="nl-NL"/>
              </w:rPr>
              <w:t>syncope, convulsies, verhoogde intracraniale druk met papiloedeem (pseudo-hersentumor)</w:t>
            </w:r>
            <w:r w:rsidRPr="00996C1F">
              <w:rPr>
                <w:vertAlign w:val="superscript"/>
                <w:lang w:val="nl-NL"/>
              </w:rPr>
              <w:t>e</w:t>
            </w:r>
            <w:r w:rsidRPr="00996C1F">
              <w:rPr>
                <w:lang w:val="nl-NL"/>
              </w:rPr>
              <w:t>, neuritis, paresthesieën</w:t>
            </w:r>
          </w:p>
        </w:tc>
      </w:tr>
      <w:tr w:rsidR="00EF3A34" w:rsidRPr="00996C1F" w14:paraId="20528DCE" w14:textId="77777777" w:rsidTr="00017F88">
        <w:tc>
          <w:tcPr>
            <w:tcW w:w="3893" w:type="dxa"/>
          </w:tcPr>
          <w:p w14:paraId="372F3A4F" w14:textId="77777777" w:rsidR="00EF3A34" w:rsidRPr="00996C1F" w:rsidRDefault="00EF3A34" w:rsidP="008C4B95">
            <w:pPr>
              <w:pStyle w:val="EMEABodyText"/>
              <w:tabs>
                <w:tab w:val="left" w:pos="3960"/>
              </w:tabs>
              <w:ind w:left="-18"/>
              <w:rPr>
                <w:i/>
                <w:sz w:val="24"/>
                <w:szCs w:val="24"/>
                <w:lang w:val="nl-NL"/>
              </w:rPr>
            </w:pPr>
          </w:p>
        </w:tc>
        <w:tc>
          <w:tcPr>
            <w:tcW w:w="1507" w:type="dxa"/>
          </w:tcPr>
          <w:p w14:paraId="29DCC384" w14:textId="77777777" w:rsidR="00EF3A34" w:rsidRPr="00996C1F" w:rsidRDefault="00EF3A34" w:rsidP="008C4B95">
            <w:pPr>
              <w:pStyle w:val="EMEABodyText"/>
              <w:tabs>
                <w:tab w:val="left" w:pos="3960"/>
              </w:tabs>
              <w:rPr>
                <w:sz w:val="24"/>
                <w:szCs w:val="24"/>
                <w:lang w:val="nl-NL"/>
              </w:rPr>
            </w:pPr>
            <w:r w:rsidRPr="00996C1F">
              <w:rPr>
                <w:sz w:val="24"/>
                <w:szCs w:val="24"/>
                <w:lang w:val="nl-NL"/>
              </w:rPr>
              <w:t>Niet bekend</w:t>
            </w:r>
          </w:p>
        </w:tc>
        <w:tc>
          <w:tcPr>
            <w:tcW w:w="3623" w:type="dxa"/>
          </w:tcPr>
          <w:p w14:paraId="15455820" w14:textId="77777777" w:rsidR="00EF3A34" w:rsidRPr="00996C1F" w:rsidRDefault="00EF3A34" w:rsidP="008C4B95">
            <w:pPr>
              <w:pStyle w:val="EMEABodyText"/>
              <w:tabs>
                <w:tab w:val="left" w:pos="1890"/>
              </w:tabs>
              <w:rPr>
                <w:sz w:val="24"/>
                <w:szCs w:val="24"/>
                <w:lang w:val="nl-NL"/>
              </w:rPr>
            </w:pPr>
            <w:r w:rsidRPr="00996C1F">
              <w:rPr>
                <w:sz w:val="24"/>
                <w:szCs w:val="24"/>
                <w:lang w:val="nl-NL"/>
              </w:rPr>
              <w:t>duizeligheid</w:t>
            </w:r>
          </w:p>
        </w:tc>
      </w:tr>
      <w:tr w:rsidR="00EF3A34" w:rsidRPr="00996C1F" w14:paraId="6A31E9CE" w14:textId="77777777" w:rsidTr="00017F88">
        <w:tc>
          <w:tcPr>
            <w:tcW w:w="3893" w:type="dxa"/>
          </w:tcPr>
          <w:p w14:paraId="1A16EAEF" w14:textId="77777777" w:rsidR="00EF3A34" w:rsidRPr="00996C1F" w:rsidRDefault="00EF3A34" w:rsidP="008C4B95">
            <w:pPr>
              <w:pStyle w:val="EMEABodyText"/>
              <w:tabs>
                <w:tab w:val="left" w:pos="3960"/>
              </w:tabs>
              <w:ind w:left="-18"/>
              <w:rPr>
                <w:i/>
                <w:sz w:val="24"/>
                <w:szCs w:val="24"/>
                <w:lang w:val="nl-NL"/>
              </w:rPr>
            </w:pPr>
            <w:r w:rsidRPr="00996C1F">
              <w:rPr>
                <w:i/>
                <w:sz w:val="24"/>
                <w:szCs w:val="24"/>
                <w:lang w:val="nl-NL"/>
              </w:rPr>
              <w:t>Oogaandoeningen</w:t>
            </w:r>
          </w:p>
        </w:tc>
        <w:tc>
          <w:tcPr>
            <w:tcW w:w="1507" w:type="dxa"/>
          </w:tcPr>
          <w:p w14:paraId="7C3F9728" w14:textId="77777777" w:rsidR="00EF3A34" w:rsidRPr="00996C1F" w:rsidRDefault="00EF3A34" w:rsidP="008C4B95">
            <w:pPr>
              <w:pStyle w:val="EMEABodyText"/>
              <w:tabs>
                <w:tab w:val="left" w:pos="3960"/>
              </w:tabs>
              <w:rPr>
                <w:sz w:val="24"/>
                <w:szCs w:val="24"/>
                <w:lang w:val="nl-NL"/>
              </w:rPr>
            </w:pPr>
            <w:r w:rsidRPr="00996C1F">
              <w:rPr>
                <w:sz w:val="24"/>
                <w:szCs w:val="24"/>
                <w:lang w:val="nl-NL"/>
              </w:rPr>
              <w:t>Vaak</w:t>
            </w:r>
          </w:p>
        </w:tc>
        <w:tc>
          <w:tcPr>
            <w:tcW w:w="3623" w:type="dxa"/>
          </w:tcPr>
          <w:p w14:paraId="2E96CC8C" w14:textId="77777777" w:rsidR="00EF3A34" w:rsidRPr="00996C1F" w:rsidRDefault="00EF3A34" w:rsidP="008C4B95">
            <w:pPr>
              <w:pStyle w:val="EMEABodyText"/>
              <w:tabs>
                <w:tab w:val="left" w:pos="1890"/>
              </w:tabs>
              <w:rPr>
                <w:sz w:val="24"/>
                <w:szCs w:val="24"/>
                <w:lang w:val="nl-NL"/>
              </w:rPr>
            </w:pPr>
            <w:r w:rsidRPr="00996C1F">
              <w:rPr>
                <w:sz w:val="24"/>
                <w:szCs w:val="24"/>
                <w:lang w:val="nl-NL"/>
              </w:rPr>
              <w:t>posterieur subcapsulair cataract</w:t>
            </w:r>
          </w:p>
        </w:tc>
      </w:tr>
      <w:tr w:rsidR="00EF3A34" w:rsidRPr="000852AA" w14:paraId="41046FE3" w14:textId="77777777" w:rsidTr="00017F88">
        <w:trPr>
          <w:trHeight w:val="390"/>
        </w:trPr>
        <w:tc>
          <w:tcPr>
            <w:tcW w:w="3893" w:type="dxa"/>
          </w:tcPr>
          <w:p w14:paraId="17E3609A" w14:textId="77777777" w:rsidR="00EF3A34" w:rsidRPr="00996C1F" w:rsidRDefault="00EF3A34" w:rsidP="008C4B95">
            <w:pPr>
              <w:pStyle w:val="EMEABodyText"/>
              <w:tabs>
                <w:tab w:val="left" w:pos="3960"/>
              </w:tabs>
              <w:ind w:left="-18"/>
              <w:rPr>
                <w:i/>
                <w:sz w:val="24"/>
                <w:szCs w:val="24"/>
                <w:lang w:val="nl-NL"/>
              </w:rPr>
            </w:pPr>
          </w:p>
        </w:tc>
        <w:tc>
          <w:tcPr>
            <w:tcW w:w="1507" w:type="dxa"/>
          </w:tcPr>
          <w:p w14:paraId="08FDA27B" w14:textId="77777777" w:rsidR="00EF3A34" w:rsidRPr="00996C1F" w:rsidRDefault="00EF3A34" w:rsidP="008C4B95">
            <w:pPr>
              <w:pStyle w:val="EMEABodyText"/>
              <w:tabs>
                <w:tab w:val="left" w:pos="3960"/>
              </w:tabs>
              <w:rPr>
                <w:sz w:val="24"/>
                <w:szCs w:val="24"/>
                <w:lang w:val="nl-NL"/>
              </w:rPr>
            </w:pPr>
            <w:r w:rsidRPr="00996C1F">
              <w:rPr>
                <w:sz w:val="24"/>
                <w:szCs w:val="24"/>
                <w:lang w:val="nl-NL"/>
              </w:rPr>
              <w:t>Soms</w:t>
            </w:r>
          </w:p>
        </w:tc>
        <w:tc>
          <w:tcPr>
            <w:tcW w:w="3623" w:type="dxa"/>
          </w:tcPr>
          <w:p w14:paraId="054EF472" w14:textId="77777777" w:rsidR="00EF3A34" w:rsidRPr="00996C1F" w:rsidRDefault="00EF3A34" w:rsidP="008C4B95">
            <w:pPr>
              <w:pStyle w:val="EMEABodyText"/>
              <w:tabs>
                <w:tab w:val="left" w:pos="3960"/>
              </w:tabs>
              <w:rPr>
                <w:sz w:val="24"/>
                <w:szCs w:val="24"/>
                <w:lang w:val="nl-NL"/>
              </w:rPr>
            </w:pPr>
            <w:r w:rsidRPr="00996C1F">
              <w:rPr>
                <w:sz w:val="24"/>
                <w:szCs w:val="24"/>
                <w:lang w:val="nl-NL"/>
              </w:rPr>
              <w:t>glaucoom met mogelijke beschadiging van de oogzenuw, exofthalmie, perforatie van de cornea</w:t>
            </w:r>
          </w:p>
        </w:tc>
      </w:tr>
      <w:tr w:rsidR="00EF3A34" w:rsidRPr="000852AA" w14:paraId="055EA858" w14:textId="77777777" w:rsidTr="00017F88">
        <w:tc>
          <w:tcPr>
            <w:tcW w:w="3893" w:type="dxa"/>
          </w:tcPr>
          <w:p w14:paraId="62453353" w14:textId="77777777" w:rsidR="00EF3A34" w:rsidRPr="00996C1F" w:rsidRDefault="00EF3A34" w:rsidP="008C4B95">
            <w:pPr>
              <w:pStyle w:val="EMEABodyText"/>
              <w:tabs>
                <w:tab w:val="left" w:pos="3960"/>
              </w:tabs>
              <w:ind w:left="-18"/>
              <w:rPr>
                <w:i/>
                <w:sz w:val="24"/>
                <w:szCs w:val="24"/>
                <w:lang w:val="nl-NL"/>
              </w:rPr>
            </w:pPr>
          </w:p>
        </w:tc>
        <w:tc>
          <w:tcPr>
            <w:tcW w:w="1507" w:type="dxa"/>
          </w:tcPr>
          <w:p w14:paraId="13CEEB85" w14:textId="77777777" w:rsidR="00EF3A34" w:rsidRPr="00996C1F" w:rsidDel="00B61269" w:rsidRDefault="00EF3A34" w:rsidP="008C4B95">
            <w:pPr>
              <w:pStyle w:val="EMEABodyText"/>
              <w:tabs>
                <w:tab w:val="left" w:pos="3960"/>
              </w:tabs>
              <w:rPr>
                <w:sz w:val="24"/>
                <w:szCs w:val="24"/>
                <w:lang w:val="nl-NL"/>
              </w:rPr>
            </w:pPr>
            <w:r w:rsidRPr="00996C1F">
              <w:rPr>
                <w:sz w:val="24"/>
                <w:szCs w:val="24"/>
                <w:lang w:val="nl-NL"/>
              </w:rPr>
              <w:t>Niet bekend</w:t>
            </w:r>
          </w:p>
        </w:tc>
        <w:tc>
          <w:tcPr>
            <w:tcW w:w="3623" w:type="dxa"/>
          </w:tcPr>
          <w:p w14:paraId="042E042B" w14:textId="77777777" w:rsidR="00EF3A34" w:rsidRDefault="00EF3A34" w:rsidP="008C4B95">
            <w:pPr>
              <w:tabs>
                <w:tab w:val="left" w:pos="0"/>
                <w:tab w:val="left" w:pos="850"/>
                <w:tab w:val="left" w:pos="1701"/>
                <w:tab w:val="left" w:pos="2552"/>
                <w:tab w:val="left" w:pos="3403"/>
                <w:tab w:val="left" w:pos="4254"/>
                <w:tab w:val="left" w:pos="5104"/>
                <w:tab w:val="left" w:pos="5955"/>
                <w:tab w:val="left" w:pos="6806"/>
                <w:tab w:val="left" w:pos="7657"/>
                <w:tab w:val="left" w:pos="8508"/>
              </w:tabs>
              <w:rPr>
                <w:lang w:val="nl-NL"/>
              </w:rPr>
            </w:pPr>
            <w:r w:rsidRPr="00996C1F">
              <w:rPr>
                <w:lang w:val="nl-NL"/>
              </w:rPr>
              <w:t>verhoging van het risico op secundaire ooginfecties veroorzaakt door schimmels of virussen</w:t>
            </w:r>
            <w:r w:rsidR="00997404">
              <w:rPr>
                <w:lang w:val="nl-NL"/>
              </w:rPr>
              <w:t>,</w:t>
            </w:r>
          </w:p>
          <w:p w14:paraId="74629798" w14:textId="77777777" w:rsidR="00997404" w:rsidRPr="00996C1F" w:rsidRDefault="00997404" w:rsidP="008C4B95">
            <w:pPr>
              <w:tabs>
                <w:tab w:val="left" w:pos="0"/>
                <w:tab w:val="left" w:pos="850"/>
                <w:tab w:val="left" w:pos="1701"/>
                <w:tab w:val="left" w:pos="2552"/>
                <w:tab w:val="left" w:pos="3403"/>
                <w:tab w:val="left" w:pos="4254"/>
                <w:tab w:val="left" w:pos="5104"/>
                <w:tab w:val="left" w:pos="5955"/>
                <w:tab w:val="left" w:pos="6806"/>
                <w:tab w:val="left" w:pos="7657"/>
                <w:tab w:val="left" w:pos="8508"/>
              </w:tabs>
              <w:rPr>
                <w:lang w:val="nl-NL"/>
              </w:rPr>
            </w:pPr>
            <w:r>
              <w:rPr>
                <w:lang w:val="nl-NL"/>
              </w:rPr>
              <w:t>wazig zien (zie ook rubriek 4.4)</w:t>
            </w:r>
          </w:p>
        </w:tc>
      </w:tr>
      <w:tr w:rsidR="00EF3A34" w:rsidRPr="00996C1F" w14:paraId="4BAB736D" w14:textId="77777777" w:rsidTr="00017F88">
        <w:tc>
          <w:tcPr>
            <w:tcW w:w="3893" w:type="dxa"/>
          </w:tcPr>
          <w:p w14:paraId="1B6CF0D8" w14:textId="77777777" w:rsidR="00EF3A34" w:rsidRPr="00996C1F" w:rsidRDefault="00EF3A34" w:rsidP="008C4B95">
            <w:pPr>
              <w:pStyle w:val="EMEABodyText"/>
              <w:tabs>
                <w:tab w:val="left" w:pos="3960"/>
              </w:tabs>
              <w:ind w:left="-18"/>
              <w:rPr>
                <w:i/>
                <w:sz w:val="24"/>
                <w:szCs w:val="24"/>
                <w:lang w:val="nl-NL"/>
              </w:rPr>
            </w:pPr>
            <w:r w:rsidRPr="00996C1F">
              <w:rPr>
                <w:i/>
                <w:sz w:val="24"/>
                <w:szCs w:val="24"/>
                <w:lang w:val="nl-NL"/>
              </w:rPr>
              <w:t>Hartaandoeningen</w:t>
            </w:r>
          </w:p>
        </w:tc>
        <w:tc>
          <w:tcPr>
            <w:tcW w:w="1507" w:type="dxa"/>
          </w:tcPr>
          <w:p w14:paraId="3D603CC6" w14:textId="77777777" w:rsidR="00EF3A34" w:rsidRPr="00996C1F" w:rsidDel="00B61269" w:rsidRDefault="00EF3A34" w:rsidP="008C4B95">
            <w:pPr>
              <w:pStyle w:val="EMEABodyText"/>
              <w:tabs>
                <w:tab w:val="left" w:pos="3960"/>
              </w:tabs>
              <w:rPr>
                <w:sz w:val="24"/>
                <w:szCs w:val="24"/>
                <w:lang w:val="nl-NL"/>
              </w:rPr>
            </w:pPr>
            <w:r w:rsidRPr="00996C1F">
              <w:rPr>
                <w:sz w:val="24"/>
                <w:szCs w:val="24"/>
                <w:lang w:val="nl-NL"/>
              </w:rPr>
              <w:t>Soms</w:t>
            </w:r>
          </w:p>
        </w:tc>
        <w:tc>
          <w:tcPr>
            <w:tcW w:w="3623" w:type="dxa"/>
          </w:tcPr>
          <w:p w14:paraId="30085B83" w14:textId="77777777" w:rsidR="00EF3A34" w:rsidRPr="00996C1F" w:rsidRDefault="00EF3A34" w:rsidP="008C4B95">
            <w:pPr>
              <w:tabs>
                <w:tab w:val="left" w:pos="0"/>
                <w:tab w:val="left" w:pos="850"/>
                <w:tab w:val="left" w:pos="1701"/>
                <w:tab w:val="left" w:pos="2552"/>
                <w:tab w:val="left" w:pos="3403"/>
                <w:tab w:val="left" w:pos="4254"/>
                <w:tab w:val="left" w:pos="5104"/>
                <w:tab w:val="left" w:pos="5955"/>
                <w:tab w:val="left" w:pos="6806"/>
                <w:tab w:val="left" w:pos="7657"/>
                <w:tab w:val="left" w:pos="8508"/>
              </w:tabs>
              <w:rPr>
                <w:lang w:val="nl-NL"/>
              </w:rPr>
            </w:pPr>
            <w:r w:rsidRPr="00996C1F">
              <w:rPr>
                <w:lang w:val="nl-NL"/>
              </w:rPr>
              <w:t>aritmie</w:t>
            </w:r>
          </w:p>
        </w:tc>
      </w:tr>
      <w:tr w:rsidR="00EF3A34" w:rsidRPr="00996C1F" w14:paraId="4DF04E38" w14:textId="77777777" w:rsidTr="00017F88">
        <w:trPr>
          <w:trHeight w:val="390"/>
        </w:trPr>
        <w:tc>
          <w:tcPr>
            <w:tcW w:w="3893" w:type="dxa"/>
          </w:tcPr>
          <w:p w14:paraId="0B77F757" w14:textId="77777777" w:rsidR="00EF3A34" w:rsidRPr="00996C1F" w:rsidRDefault="00EF3A34" w:rsidP="008C4B95">
            <w:pPr>
              <w:pStyle w:val="EMEABodyText"/>
              <w:tabs>
                <w:tab w:val="left" w:pos="3960"/>
              </w:tabs>
              <w:ind w:left="-18"/>
              <w:rPr>
                <w:i/>
                <w:sz w:val="24"/>
                <w:szCs w:val="24"/>
                <w:lang w:val="nl-NL"/>
              </w:rPr>
            </w:pPr>
          </w:p>
        </w:tc>
        <w:tc>
          <w:tcPr>
            <w:tcW w:w="1507" w:type="dxa"/>
          </w:tcPr>
          <w:p w14:paraId="145876CF" w14:textId="77777777" w:rsidR="00EF3A34" w:rsidRPr="00996C1F" w:rsidDel="00B61269" w:rsidRDefault="00EF3A34" w:rsidP="008C4B95">
            <w:pPr>
              <w:pStyle w:val="EMEABodyText"/>
              <w:tabs>
                <w:tab w:val="left" w:pos="3960"/>
              </w:tabs>
              <w:rPr>
                <w:sz w:val="24"/>
                <w:szCs w:val="24"/>
                <w:lang w:val="nl-NL"/>
              </w:rPr>
            </w:pPr>
            <w:r w:rsidRPr="00996C1F">
              <w:rPr>
                <w:sz w:val="24"/>
                <w:szCs w:val="24"/>
                <w:lang w:val="nl-NL"/>
              </w:rPr>
              <w:t>Niet bekend</w:t>
            </w:r>
          </w:p>
        </w:tc>
        <w:tc>
          <w:tcPr>
            <w:tcW w:w="3623" w:type="dxa"/>
          </w:tcPr>
          <w:p w14:paraId="20D2B180" w14:textId="77777777" w:rsidR="00EF3A34" w:rsidRPr="00996C1F" w:rsidRDefault="00EF3A34" w:rsidP="008C4B95">
            <w:pPr>
              <w:pStyle w:val="EMEABodyText"/>
              <w:tabs>
                <w:tab w:val="left" w:pos="3960"/>
              </w:tabs>
              <w:rPr>
                <w:sz w:val="24"/>
                <w:szCs w:val="24"/>
                <w:lang w:val="nl-NL"/>
              </w:rPr>
            </w:pPr>
            <w:r w:rsidRPr="00996C1F">
              <w:rPr>
                <w:sz w:val="24"/>
                <w:szCs w:val="24"/>
                <w:lang w:val="nl-NL"/>
              </w:rPr>
              <w:t>hartdecompensatie, hartkloppingen</w:t>
            </w:r>
          </w:p>
        </w:tc>
      </w:tr>
      <w:tr w:rsidR="00EF3A34" w:rsidRPr="007F0CFA" w14:paraId="7C900FAB" w14:textId="77777777" w:rsidTr="00017F88">
        <w:trPr>
          <w:trHeight w:val="390"/>
        </w:trPr>
        <w:tc>
          <w:tcPr>
            <w:tcW w:w="3893" w:type="dxa"/>
          </w:tcPr>
          <w:p w14:paraId="16F5A891" w14:textId="77777777" w:rsidR="00EF3A34" w:rsidRPr="00996C1F" w:rsidRDefault="00EF3A34" w:rsidP="008C4B95">
            <w:pPr>
              <w:pStyle w:val="EMEABodyText"/>
              <w:tabs>
                <w:tab w:val="left" w:pos="3960"/>
              </w:tabs>
              <w:ind w:left="-18"/>
              <w:rPr>
                <w:i/>
                <w:sz w:val="24"/>
                <w:szCs w:val="24"/>
                <w:lang w:val="nl-NL"/>
              </w:rPr>
            </w:pPr>
            <w:r w:rsidRPr="00996C1F">
              <w:rPr>
                <w:i/>
                <w:sz w:val="24"/>
                <w:szCs w:val="24"/>
                <w:lang w:val="nl-NL"/>
              </w:rPr>
              <w:t>Bloedvataandoeningen</w:t>
            </w:r>
          </w:p>
        </w:tc>
        <w:tc>
          <w:tcPr>
            <w:tcW w:w="1507" w:type="dxa"/>
          </w:tcPr>
          <w:p w14:paraId="69507D91" w14:textId="77777777" w:rsidR="00EF3A34" w:rsidRPr="00996C1F" w:rsidDel="00B61269" w:rsidRDefault="00EF3A34" w:rsidP="008C4B95">
            <w:pPr>
              <w:pStyle w:val="EMEABodyText"/>
              <w:tabs>
                <w:tab w:val="left" w:pos="3960"/>
              </w:tabs>
              <w:rPr>
                <w:sz w:val="24"/>
                <w:szCs w:val="24"/>
                <w:lang w:val="nl-NL"/>
              </w:rPr>
            </w:pPr>
            <w:r w:rsidRPr="00996C1F">
              <w:rPr>
                <w:sz w:val="24"/>
                <w:szCs w:val="24"/>
                <w:lang w:val="nl-NL"/>
              </w:rPr>
              <w:t>Soms</w:t>
            </w:r>
          </w:p>
        </w:tc>
        <w:tc>
          <w:tcPr>
            <w:tcW w:w="3623" w:type="dxa"/>
          </w:tcPr>
          <w:p w14:paraId="4FEE1B09" w14:textId="4C099445" w:rsidR="00EF3A34" w:rsidRPr="00EE4058" w:rsidRDefault="00EF3A34" w:rsidP="008C4B95">
            <w:pPr>
              <w:pStyle w:val="EMEABodyText"/>
              <w:tabs>
                <w:tab w:val="left" w:pos="3960"/>
              </w:tabs>
              <w:rPr>
                <w:sz w:val="24"/>
                <w:szCs w:val="24"/>
                <w:lang w:val="de-DE"/>
              </w:rPr>
            </w:pPr>
            <w:r w:rsidRPr="00EE4058">
              <w:rPr>
                <w:sz w:val="24"/>
                <w:szCs w:val="24"/>
                <w:lang w:val="de-DE"/>
              </w:rPr>
              <w:t>hypertensie, necrotische angiitis, trombo-embolie, tromboflebitis</w:t>
            </w:r>
          </w:p>
        </w:tc>
      </w:tr>
      <w:tr w:rsidR="00EF3A34" w:rsidRPr="00996C1F" w14:paraId="523DFB3C" w14:textId="77777777" w:rsidTr="00017F88">
        <w:trPr>
          <w:trHeight w:val="390"/>
        </w:trPr>
        <w:tc>
          <w:tcPr>
            <w:tcW w:w="3893" w:type="dxa"/>
          </w:tcPr>
          <w:p w14:paraId="3DB60670" w14:textId="77777777" w:rsidR="00EF3A34" w:rsidRPr="00EE4058" w:rsidRDefault="00EF3A34" w:rsidP="008C4B95">
            <w:pPr>
              <w:pStyle w:val="EMEABodyText"/>
              <w:tabs>
                <w:tab w:val="left" w:pos="3960"/>
              </w:tabs>
              <w:ind w:left="-18"/>
              <w:rPr>
                <w:i/>
                <w:sz w:val="24"/>
                <w:szCs w:val="24"/>
                <w:lang w:val="de-DE"/>
              </w:rPr>
            </w:pPr>
          </w:p>
        </w:tc>
        <w:tc>
          <w:tcPr>
            <w:tcW w:w="1507" w:type="dxa"/>
          </w:tcPr>
          <w:p w14:paraId="0B21BF26" w14:textId="77777777" w:rsidR="00EF3A34" w:rsidRPr="00996C1F" w:rsidDel="00B61269" w:rsidRDefault="00EF3A34" w:rsidP="008C4B95">
            <w:pPr>
              <w:pStyle w:val="EMEABodyText"/>
              <w:tabs>
                <w:tab w:val="left" w:pos="3960"/>
              </w:tabs>
              <w:rPr>
                <w:sz w:val="24"/>
                <w:szCs w:val="24"/>
                <w:lang w:val="nl-NL"/>
              </w:rPr>
            </w:pPr>
            <w:r w:rsidRPr="00996C1F">
              <w:rPr>
                <w:sz w:val="24"/>
                <w:szCs w:val="24"/>
                <w:lang w:val="nl-NL"/>
              </w:rPr>
              <w:t>Niet bekend</w:t>
            </w:r>
          </w:p>
        </w:tc>
        <w:tc>
          <w:tcPr>
            <w:tcW w:w="3623" w:type="dxa"/>
          </w:tcPr>
          <w:p w14:paraId="28AEBAB8" w14:textId="77777777" w:rsidR="00EF3A34" w:rsidRPr="00996C1F" w:rsidRDefault="00EF3A34" w:rsidP="008C4B95">
            <w:pPr>
              <w:pStyle w:val="EMEABodyText"/>
              <w:tabs>
                <w:tab w:val="left" w:pos="3960"/>
              </w:tabs>
              <w:rPr>
                <w:sz w:val="24"/>
                <w:szCs w:val="24"/>
                <w:lang w:val="nl-NL"/>
              </w:rPr>
            </w:pPr>
            <w:r w:rsidRPr="00996C1F">
              <w:rPr>
                <w:sz w:val="24"/>
                <w:szCs w:val="24"/>
                <w:lang w:val="nl-NL"/>
              </w:rPr>
              <w:t>trombose, atherosclerose</w:t>
            </w:r>
          </w:p>
        </w:tc>
      </w:tr>
      <w:tr w:rsidR="00EF3A34" w:rsidRPr="00996C1F" w14:paraId="1AE2F199" w14:textId="77777777" w:rsidTr="00017F88">
        <w:trPr>
          <w:trHeight w:val="390"/>
        </w:trPr>
        <w:tc>
          <w:tcPr>
            <w:tcW w:w="3893" w:type="dxa"/>
          </w:tcPr>
          <w:p w14:paraId="2EDC1732" w14:textId="77777777" w:rsidR="00EF3A34" w:rsidRPr="00996C1F" w:rsidRDefault="00EF3A34" w:rsidP="008C4B95">
            <w:pPr>
              <w:pStyle w:val="EMEABodyText"/>
              <w:tabs>
                <w:tab w:val="left" w:pos="3960"/>
              </w:tabs>
              <w:ind w:left="-18"/>
              <w:rPr>
                <w:i/>
                <w:sz w:val="24"/>
                <w:szCs w:val="24"/>
                <w:lang w:val="nl-NL"/>
              </w:rPr>
            </w:pPr>
            <w:r w:rsidRPr="00996C1F">
              <w:rPr>
                <w:i/>
                <w:sz w:val="24"/>
                <w:szCs w:val="24"/>
                <w:lang w:val="nl-NL"/>
              </w:rPr>
              <w:t>Ademhalingsstelsel-, borstkas- en mediastinumaandoeningen</w:t>
            </w:r>
          </w:p>
        </w:tc>
        <w:tc>
          <w:tcPr>
            <w:tcW w:w="1507" w:type="dxa"/>
          </w:tcPr>
          <w:p w14:paraId="4C72B04E" w14:textId="77777777" w:rsidR="00EF3A34" w:rsidRPr="00996C1F" w:rsidDel="00B61269" w:rsidRDefault="00EF3A34" w:rsidP="0043727E">
            <w:pPr>
              <w:pStyle w:val="EMEABodyText"/>
              <w:tabs>
                <w:tab w:val="left" w:pos="3960"/>
              </w:tabs>
              <w:rPr>
                <w:sz w:val="24"/>
                <w:szCs w:val="24"/>
                <w:lang w:val="nl-NL"/>
              </w:rPr>
            </w:pPr>
            <w:r w:rsidRPr="00996C1F">
              <w:rPr>
                <w:sz w:val="24"/>
                <w:szCs w:val="24"/>
                <w:lang w:val="nl-NL"/>
              </w:rPr>
              <w:t>Niet bekend</w:t>
            </w:r>
          </w:p>
        </w:tc>
        <w:tc>
          <w:tcPr>
            <w:tcW w:w="3623" w:type="dxa"/>
          </w:tcPr>
          <w:p w14:paraId="66E283B0" w14:textId="77777777" w:rsidR="00EF3A34" w:rsidRPr="00996C1F" w:rsidRDefault="00EF3A34" w:rsidP="008C4B95">
            <w:pPr>
              <w:pStyle w:val="EMEABodyText"/>
              <w:tabs>
                <w:tab w:val="left" w:pos="3960"/>
              </w:tabs>
              <w:rPr>
                <w:sz w:val="24"/>
                <w:szCs w:val="24"/>
                <w:lang w:val="nl-NL"/>
              </w:rPr>
            </w:pPr>
            <w:r w:rsidRPr="00996C1F">
              <w:rPr>
                <w:sz w:val="24"/>
                <w:szCs w:val="24"/>
                <w:lang w:val="nl-NL"/>
              </w:rPr>
              <w:t>heesheid, wheezing, hoest</w:t>
            </w:r>
          </w:p>
        </w:tc>
      </w:tr>
      <w:tr w:rsidR="00EF3A34" w:rsidRPr="000852AA" w14:paraId="51114DC8" w14:textId="77777777" w:rsidTr="00017F88">
        <w:trPr>
          <w:trHeight w:val="390"/>
        </w:trPr>
        <w:tc>
          <w:tcPr>
            <w:tcW w:w="3893" w:type="dxa"/>
          </w:tcPr>
          <w:p w14:paraId="0F5B3B53" w14:textId="77777777" w:rsidR="00EF3A34" w:rsidRPr="00996C1F" w:rsidRDefault="00EF3A34" w:rsidP="008C4B95">
            <w:pPr>
              <w:pStyle w:val="EMEABodyText"/>
              <w:tabs>
                <w:tab w:val="left" w:pos="3960"/>
              </w:tabs>
              <w:ind w:left="-18"/>
              <w:rPr>
                <w:i/>
                <w:sz w:val="24"/>
                <w:szCs w:val="24"/>
                <w:lang w:val="nl-NL"/>
              </w:rPr>
            </w:pPr>
            <w:r w:rsidRPr="00996C1F">
              <w:rPr>
                <w:i/>
                <w:sz w:val="24"/>
                <w:szCs w:val="24"/>
                <w:lang w:val="nl-NL"/>
              </w:rPr>
              <w:t>Maagdarmstelselaandoeningen</w:t>
            </w:r>
          </w:p>
        </w:tc>
        <w:tc>
          <w:tcPr>
            <w:tcW w:w="1507" w:type="dxa"/>
          </w:tcPr>
          <w:p w14:paraId="39FF903B" w14:textId="77777777" w:rsidR="00EF3A34" w:rsidRPr="00996C1F" w:rsidRDefault="00EF3A34" w:rsidP="008C4B95">
            <w:pPr>
              <w:pStyle w:val="EMEABodyText"/>
              <w:tabs>
                <w:tab w:val="left" w:pos="3960"/>
              </w:tabs>
              <w:rPr>
                <w:sz w:val="24"/>
                <w:szCs w:val="24"/>
                <w:lang w:val="nl-NL"/>
              </w:rPr>
            </w:pPr>
            <w:r w:rsidRPr="00996C1F">
              <w:rPr>
                <w:sz w:val="24"/>
                <w:szCs w:val="24"/>
                <w:lang w:val="nl-NL"/>
              </w:rPr>
              <w:t>Soms</w:t>
            </w:r>
          </w:p>
        </w:tc>
        <w:tc>
          <w:tcPr>
            <w:tcW w:w="3623" w:type="dxa"/>
          </w:tcPr>
          <w:p w14:paraId="1C4D004D" w14:textId="2689E5EC" w:rsidR="00EF3A34" w:rsidRPr="00996C1F" w:rsidRDefault="00EF3A34" w:rsidP="008C4B95">
            <w:pPr>
              <w:pStyle w:val="EMEABodyText"/>
              <w:tabs>
                <w:tab w:val="left" w:pos="3960"/>
              </w:tabs>
              <w:rPr>
                <w:sz w:val="24"/>
                <w:szCs w:val="24"/>
                <w:lang w:val="nl-NL"/>
              </w:rPr>
            </w:pPr>
            <w:r w:rsidRPr="00996C1F">
              <w:rPr>
                <w:sz w:val="24"/>
                <w:szCs w:val="24"/>
                <w:lang w:val="nl-NL"/>
              </w:rPr>
              <w:t>ulcus pepticum, eventueel gevolgd door perforatie en bloedingen, pancreatitis, abdominale distensie, ulceratieve oesofagitis</w:t>
            </w:r>
          </w:p>
        </w:tc>
      </w:tr>
      <w:tr w:rsidR="00EF3A34" w:rsidRPr="000852AA" w14:paraId="13F82507" w14:textId="77777777" w:rsidTr="00017F88">
        <w:trPr>
          <w:trHeight w:val="390"/>
        </w:trPr>
        <w:tc>
          <w:tcPr>
            <w:tcW w:w="3893" w:type="dxa"/>
          </w:tcPr>
          <w:p w14:paraId="1FE1DA42" w14:textId="77777777" w:rsidR="00EF3A34" w:rsidRPr="00996C1F" w:rsidRDefault="00EF3A34" w:rsidP="008C4B95">
            <w:pPr>
              <w:pStyle w:val="EMEABodyText"/>
              <w:tabs>
                <w:tab w:val="left" w:pos="3960"/>
              </w:tabs>
              <w:ind w:left="-18"/>
              <w:rPr>
                <w:i/>
                <w:sz w:val="24"/>
                <w:szCs w:val="24"/>
                <w:lang w:val="nl-NL"/>
              </w:rPr>
            </w:pPr>
          </w:p>
        </w:tc>
        <w:tc>
          <w:tcPr>
            <w:tcW w:w="1507" w:type="dxa"/>
          </w:tcPr>
          <w:p w14:paraId="367EDF55" w14:textId="77777777" w:rsidR="00EF3A34" w:rsidRPr="00996C1F" w:rsidRDefault="00EF3A34" w:rsidP="008C4B95">
            <w:pPr>
              <w:pStyle w:val="EMEABodyText"/>
              <w:tabs>
                <w:tab w:val="left" w:pos="3960"/>
              </w:tabs>
              <w:rPr>
                <w:sz w:val="24"/>
                <w:szCs w:val="24"/>
                <w:lang w:val="nl-NL"/>
              </w:rPr>
            </w:pPr>
            <w:r w:rsidRPr="00996C1F">
              <w:rPr>
                <w:sz w:val="24"/>
                <w:szCs w:val="24"/>
                <w:lang w:val="nl-NL"/>
              </w:rPr>
              <w:t>Niet bekend</w:t>
            </w:r>
          </w:p>
        </w:tc>
        <w:tc>
          <w:tcPr>
            <w:tcW w:w="3623" w:type="dxa"/>
          </w:tcPr>
          <w:p w14:paraId="3C4A930D" w14:textId="77777777" w:rsidR="00EF3A34" w:rsidRPr="00996C1F" w:rsidRDefault="00EF3A34" w:rsidP="008C4B95">
            <w:pPr>
              <w:pStyle w:val="EMEABodyText"/>
              <w:tabs>
                <w:tab w:val="left" w:pos="3960"/>
              </w:tabs>
              <w:rPr>
                <w:sz w:val="24"/>
                <w:szCs w:val="24"/>
                <w:lang w:val="nl-NL"/>
              </w:rPr>
            </w:pPr>
            <w:r w:rsidRPr="00996C1F">
              <w:rPr>
                <w:sz w:val="24"/>
                <w:szCs w:val="24"/>
                <w:lang w:val="nl-NL"/>
              </w:rPr>
              <w:t>misselijkheid, braken, anorexie (gewichtsverlies), verhoogde eetlust (gewichtstoename)</w:t>
            </w:r>
          </w:p>
        </w:tc>
      </w:tr>
      <w:tr w:rsidR="00EF3A34" w:rsidRPr="000852AA" w14:paraId="7ED221D2" w14:textId="77777777" w:rsidTr="00017F88">
        <w:trPr>
          <w:trHeight w:val="360"/>
        </w:trPr>
        <w:tc>
          <w:tcPr>
            <w:tcW w:w="3893" w:type="dxa"/>
          </w:tcPr>
          <w:p w14:paraId="31B14613" w14:textId="77777777" w:rsidR="00EF3A34" w:rsidRPr="00996C1F" w:rsidRDefault="00EF3A34" w:rsidP="008C4B95">
            <w:pPr>
              <w:pStyle w:val="EMEABodyText"/>
              <w:tabs>
                <w:tab w:val="left" w:pos="3960"/>
              </w:tabs>
              <w:ind w:left="-18"/>
              <w:rPr>
                <w:i/>
                <w:sz w:val="24"/>
                <w:szCs w:val="24"/>
                <w:lang w:val="nl-NL"/>
              </w:rPr>
            </w:pPr>
            <w:r w:rsidRPr="00996C1F">
              <w:rPr>
                <w:i/>
                <w:sz w:val="24"/>
                <w:szCs w:val="24"/>
                <w:lang w:val="nl-NL"/>
              </w:rPr>
              <w:t>Huid- en onderhuidaandoeningen</w:t>
            </w:r>
          </w:p>
        </w:tc>
        <w:tc>
          <w:tcPr>
            <w:tcW w:w="1507" w:type="dxa"/>
          </w:tcPr>
          <w:p w14:paraId="78DA1A25" w14:textId="77777777" w:rsidR="00EF3A34" w:rsidRPr="00996C1F" w:rsidRDefault="00EF3A34" w:rsidP="008C4B95">
            <w:pPr>
              <w:pStyle w:val="EMEABodyText"/>
              <w:tabs>
                <w:tab w:val="left" w:pos="3960"/>
              </w:tabs>
              <w:rPr>
                <w:sz w:val="24"/>
                <w:szCs w:val="24"/>
                <w:lang w:val="nl-NL"/>
              </w:rPr>
            </w:pPr>
            <w:r w:rsidRPr="00996C1F">
              <w:rPr>
                <w:sz w:val="24"/>
                <w:szCs w:val="24"/>
                <w:lang w:val="nl-NL"/>
              </w:rPr>
              <w:t>Soms</w:t>
            </w:r>
          </w:p>
        </w:tc>
        <w:tc>
          <w:tcPr>
            <w:tcW w:w="3623" w:type="dxa"/>
          </w:tcPr>
          <w:p w14:paraId="6229F613" w14:textId="77777777" w:rsidR="00EF3A34" w:rsidRPr="00996C1F" w:rsidRDefault="00EF3A34" w:rsidP="008C4B95">
            <w:pPr>
              <w:pStyle w:val="EMEABodyText"/>
              <w:keepNext/>
              <w:tabs>
                <w:tab w:val="left" w:pos="3960"/>
              </w:tabs>
              <w:rPr>
                <w:sz w:val="24"/>
                <w:szCs w:val="24"/>
                <w:lang w:val="nl-NL"/>
              </w:rPr>
            </w:pPr>
            <w:r w:rsidRPr="00996C1F">
              <w:rPr>
                <w:sz w:val="24"/>
                <w:szCs w:val="24"/>
                <w:lang w:val="nl-NL"/>
              </w:rPr>
              <w:t>broze en dunne huid, petechiën en ecchymose, aangezichtserytheem, verhoogde transpiratie, purpura, striae, hirsutisme, acneïforme erupties, letsels gelijkend op die bij lupus erythematodes, urticaria, rash</w:t>
            </w:r>
          </w:p>
        </w:tc>
      </w:tr>
      <w:tr w:rsidR="00EF3A34" w:rsidRPr="000852AA" w14:paraId="391D0FBA" w14:textId="77777777" w:rsidTr="00017F88">
        <w:tc>
          <w:tcPr>
            <w:tcW w:w="3893" w:type="dxa"/>
          </w:tcPr>
          <w:p w14:paraId="5E687D35" w14:textId="77777777" w:rsidR="00EF3A34" w:rsidRPr="00996C1F" w:rsidRDefault="00EF3A34" w:rsidP="008C4B95">
            <w:pPr>
              <w:pStyle w:val="EMEABodyText"/>
              <w:tabs>
                <w:tab w:val="left" w:pos="3960"/>
              </w:tabs>
              <w:ind w:left="-18"/>
              <w:rPr>
                <w:i/>
                <w:sz w:val="24"/>
                <w:szCs w:val="24"/>
                <w:lang w:val="nl-NL"/>
              </w:rPr>
            </w:pPr>
            <w:r w:rsidRPr="00996C1F">
              <w:rPr>
                <w:i/>
                <w:sz w:val="24"/>
                <w:szCs w:val="24"/>
                <w:lang w:val="nl-NL"/>
              </w:rPr>
              <w:t>Skeletspierstelsel- en bindweefselaandoeningen</w:t>
            </w:r>
          </w:p>
        </w:tc>
        <w:tc>
          <w:tcPr>
            <w:tcW w:w="1507" w:type="dxa"/>
          </w:tcPr>
          <w:p w14:paraId="69984746" w14:textId="77777777" w:rsidR="00EF3A34" w:rsidRPr="00996C1F" w:rsidRDefault="00EF3A34" w:rsidP="008C4B95">
            <w:pPr>
              <w:pStyle w:val="EMEABodyText"/>
              <w:tabs>
                <w:tab w:val="left" w:pos="3960"/>
              </w:tabs>
              <w:rPr>
                <w:sz w:val="24"/>
                <w:szCs w:val="24"/>
                <w:lang w:val="nl-NL"/>
              </w:rPr>
            </w:pPr>
            <w:r w:rsidRPr="00996C1F">
              <w:rPr>
                <w:sz w:val="24"/>
                <w:szCs w:val="24"/>
                <w:lang w:val="nl-NL"/>
              </w:rPr>
              <w:t>Soms</w:t>
            </w:r>
          </w:p>
        </w:tc>
        <w:tc>
          <w:tcPr>
            <w:tcW w:w="3623" w:type="dxa"/>
          </w:tcPr>
          <w:p w14:paraId="11F32D49" w14:textId="77777777" w:rsidR="00EF3A34" w:rsidRPr="00996C1F" w:rsidRDefault="00EF3A34" w:rsidP="008C4B95">
            <w:pPr>
              <w:pStyle w:val="EMEABodyText"/>
              <w:tabs>
                <w:tab w:val="left" w:pos="3960"/>
              </w:tabs>
              <w:rPr>
                <w:sz w:val="24"/>
                <w:szCs w:val="24"/>
                <w:lang w:val="nl-NL"/>
              </w:rPr>
            </w:pPr>
            <w:r w:rsidRPr="00996C1F">
              <w:rPr>
                <w:sz w:val="24"/>
                <w:szCs w:val="24"/>
                <w:lang w:val="nl-NL"/>
              </w:rPr>
              <w:t>spierzwakte, steroïde myopathie, verlies van spiermassa, osteoporose, vertraagd vergroeien van beenfractuurstukken, aseptische necrose van femur- en humeruskop, pathologische fracturen van de lange beenderen en spontane breuken</w:t>
            </w:r>
          </w:p>
        </w:tc>
      </w:tr>
      <w:tr w:rsidR="00EF3A34" w:rsidRPr="000852AA" w14:paraId="6B3BC621" w14:textId="77777777" w:rsidTr="00017F88">
        <w:tc>
          <w:tcPr>
            <w:tcW w:w="3893" w:type="dxa"/>
          </w:tcPr>
          <w:p w14:paraId="2AF133FB" w14:textId="77777777" w:rsidR="00EF3A34" w:rsidRPr="00996C1F" w:rsidRDefault="00EF3A34" w:rsidP="008C4B95">
            <w:pPr>
              <w:pStyle w:val="EMEABodyText"/>
              <w:tabs>
                <w:tab w:val="left" w:pos="3960"/>
              </w:tabs>
              <w:ind w:left="-18"/>
              <w:rPr>
                <w:i/>
                <w:sz w:val="24"/>
                <w:szCs w:val="24"/>
                <w:lang w:val="nl-NL"/>
              </w:rPr>
            </w:pPr>
          </w:p>
        </w:tc>
        <w:tc>
          <w:tcPr>
            <w:tcW w:w="1507" w:type="dxa"/>
          </w:tcPr>
          <w:p w14:paraId="0263DCC2" w14:textId="77777777" w:rsidR="00EF3A34" w:rsidRPr="00996C1F" w:rsidRDefault="00EF3A34" w:rsidP="008C4B95">
            <w:pPr>
              <w:pStyle w:val="EMEABodyText"/>
              <w:tabs>
                <w:tab w:val="left" w:pos="3960"/>
              </w:tabs>
              <w:rPr>
                <w:sz w:val="24"/>
                <w:szCs w:val="24"/>
                <w:lang w:val="nl-NL"/>
              </w:rPr>
            </w:pPr>
            <w:r w:rsidRPr="00996C1F">
              <w:rPr>
                <w:sz w:val="24"/>
                <w:szCs w:val="24"/>
                <w:lang w:val="nl-NL"/>
              </w:rPr>
              <w:t>Niet bekend</w:t>
            </w:r>
          </w:p>
        </w:tc>
        <w:tc>
          <w:tcPr>
            <w:tcW w:w="3623" w:type="dxa"/>
          </w:tcPr>
          <w:p w14:paraId="4C18B746" w14:textId="77777777" w:rsidR="00EF3A34" w:rsidRPr="00996C1F" w:rsidRDefault="00EF3A34" w:rsidP="008C4B95">
            <w:pPr>
              <w:pStyle w:val="EMEABodyText"/>
              <w:tabs>
                <w:tab w:val="left" w:pos="3960"/>
              </w:tabs>
              <w:rPr>
                <w:sz w:val="24"/>
                <w:szCs w:val="24"/>
                <w:lang w:val="nl-NL"/>
              </w:rPr>
            </w:pPr>
            <w:r w:rsidRPr="00996C1F">
              <w:rPr>
                <w:sz w:val="24"/>
                <w:szCs w:val="24"/>
                <w:lang w:val="nl-NL"/>
              </w:rPr>
              <w:t xml:space="preserve">spontane peesruptuur (bij patiënten die een orale of systemische behandeling met corticosteroïden </w:t>
            </w:r>
            <w:r w:rsidRPr="00996C1F">
              <w:rPr>
                <w:sz w:val="24"/>
                <w:szCs w:val="24"/>
                <w:lang w:val="nl-NL"/>
              </w:rPr>
              <w:lastRenderedPageBreak/>
              <w:t>volgen), wervelbreuken en -verzakkingen</w:t>
            </w:r>
          </w:p>
        </w:tc>
      </w:tr>
      <w:tr w:rsidR="00EF3A34" w:rsidRPr="00996C1F" w14:paraId="51E9EA43" w14:textId="77777777" w:rsidTr="00017F88">
        <w:tc>
          <w:tcPr>
            <w:tcW w:w="3893" w:type="dxa"/>
          </w:tcPr>
          <w:p w14:paraId="6F2CDEB1" w14:textId="77777777" w:rsidR="00EF3A34" w:rsidRPr="00996C1F" w:rsidRDefault="00EF3A34" w:rsidP="008C4B95">
            <w:pPr>
              <w:pStyle w:val="EMEABodyText"/>
              <w:tabs>
                <w:tab w:val="left" w:pos="3960"/>
              </w:tabs>
              <w:ind w:left="-18"/>
              <w:rPr>
                <w:i/>
                <w:sz w:val="24"/>
                <w:szCs w:val="24"/>
                <w:lang w:val="nl-NL"/>
              </w:rPr>
            </w:pPr>
            <w:r w:rsidRPr="00996C1F">
              <w:rPr>
                <w:i/>
                <w:sz w:val="24"/>
                <w:szCs w:val="24"/>
                <w:lang w:val="nl-NL"/>
              </w:rPr>
              <w:lastRenderedPageBreak/>
              <w:t>Nier- en urinewegaandoeningen</w:t>
            </w:r>
          </w:p>
        </w:tc>
        <w:tc>
          <w:tcPr>
            <w:tcW w:w="1507" w:type="dxa"/>
          </w:tcPr>
          <w:p w14:paraId="27680C23" w14:textId="77777777" w:rsidR="00EF3A34" w:rsidRPr="00996C1F" w:rsidDel="00B61269" w:rsidRDefault="00EF3A34" w:rsidP="008C4B95">
            <w:pPr>
              <w:pStyle w:val="EMEABodyText"/>
              <w:tabs>
                <w:tab w:val="left" w:pos="3960"/>
              </w:tabs>
              <w:rPr>
                <w:sz w:val="24"/>
                <w:szCs w:val="24"/>
                <w:lang w:val="nl-NL"/>
              </w:rPr>
            </w:pPr>
            <w:r w:rsidRPr="00996C1F">
              <w:rPr>
                <w:sz w:val="24"/>
                <w:szCs w:val="24"/>
                <w:lang w:val="nl-NL"/>
              </w:rPr>
              <w:t>Soms</w:t>
            </w:r>
          </w:p>
        </w:tc>
        <w:tc>
          <w:tcPr>
            <w:tcW w:w="3623" w:type="dxa"/>
          </w:tcPr>
          <w:p w14:paraId="5DA65A7A" w14:textId="134653D2" w:rsidR="00EF3A34" w:rsidRPr="00996C1F" w:rsidRDefault="00EF3A34" w:rsidP="008C4B95">
            <w:pPr>
              <w:pStyle w:val="EMEABodyText"/>
              <w:tabs>
                <w:tab w:val="left" w:pos="3960"/>
              </w:tabs>
              <w:rPr>
                <w:sz w:val="24"/>
                <w:szCs w:val="24"/>
                <w:lang w:val="nl-NL"/>
              </w:rPr>
            </w:pPr>
            <w:r w:rsidRPr="00996C1F">
              <w:rPr>
                <w:sz w:val="24"/>
                <w:szCs w:val="24"/>
                <w:lang w:val="nl-NL"/>
              </w:rPr>
              <w:t>glycosurie</w:t>
            </w:r>
          </w:p>
        </w:tc>
      </w:tr>
      <w:tr w:rsidR="00EF3A34" w:rsidRPr="00996C1F" w14:paraId="298F311A" w14:textId="77777777" w:rsidTr="00017F88">
        <w:tc>
          <w:tcPr>
            <w:tcW w:w="3893" w:type="dxa"/>
          </w:tcPr>
          <w:p w14:paraId="15CCF46B" w14:textId="77777777" w:rsidR="00EF3A34" w:rsidRPr="00996C1F" w:rsidRDefault="00EF3A34" w:rsidP="008C4B95">
            <w:pPr>
              <w:pStyle w:val="EMEABodyText"/>
              <w:tabs>
                <w:tab w:val="left" w:pos="3960"/>
              </w:tabs>
              <w:ind w:left="-18"/>
              <w:rPr>
                <w:i/>
                <w:sz w:val="24"/>
                <w:szCs w:val="24"/>
                <w:lang w:val="nl-NL"/>
              </w:rPr>
            </w:pPr>
          </w:p>
        </w:tc>
        <w:tc>
          <w:tcPr>
            <w:tcW w:w="1507" w:type="dxa"/>
          </w:tcPr>
          <w:p w14:paraId="72C96BCF" w14:textId="77777777" w:rsidR="00EF3A34" w:rsidRPr="00996C1F" w:rsidDel="00B61269" w:rsidRDefault="00EF3A34" w:rsidP="008C4B95">
            <w:pPr>
              <w:pStyle w:val="EMEABodyText"/>
              <w:tabs>
                <w:tab w:val="left" w:pos="3960"/>
              </w:tabs>
              <w:rPr>
                <w:sz w:val="24"/>
                <w:szCs w:val="24"/>
                <w:lang w:val="nl-NL"/>
              </w:rPr>
            </w:pPr>
            <w:r w:rsidRPr="00996C1F">
              <w:rPr>
                <w:sz w:val="24"/>
                <w:szCs w:val="24"/>
                <w:lang w:val="nl-NL"/>
              </w:rPr>
              <w:t>Niet bekend</w:t>
            </w:r>
          </w:p>
        </w:tc>
        <w:tc>
          <w:tcPr>
            <w:tcW w:w="3623" w:type="dxa"/>
          </w:tcPr>
          <w:p w14:paraId="3439D438" w14:textId="77777777" w:rsidR="00EF3A34" w:rsidRPr="00996C1F" w:rsidRDefault="00EF3A34" w:rsidP="008C4B95">
            <w:pPr>
              <w:pStyle w:val="EMEABodyText"/>
              <w:tabs>
                <w:tab w:val="left" w:pos="3960"/>
              </w:tabs>
              <w:rPr>
                <w:sz w:val="24"/>
                <w:szCs w:val="24"/>
                <w:lang w:val="nl-NL"/>
              </w:rPr>
            </w:pPr>
            <w:r w:rsidRPr="00996C1F">
              <w:rPr>
                <w:sz w:val="24"/>
                <w:szCs w:val="24"/>
                <w:lang w:val="nl-NL"/>
              </w:rPr>
              <w:t>veelvuldig plassen, enuresis</w:t>
            </w:r>
          </w:p>
        </w:tc>
      </w:tr>
      <w:tr w:rsidR="00EF3A34" w:rsidRPr="000852AA" w14:paraId="100D4FD0" w14:textId="77777777" w:rsidTr="00017F88">
        <w:tc>
          <w:tcPr>
            <w:tcW w:w="3893" w:type="dxa"/>
          </w:tcPr>
          <w:p w14:paraId="755B743B" w14:textId="77777777" w:rsidR="00EF3A34" w:rsidRPr="00996C1F" w:rsidRDefault="00EF3A34" w:rsidP="008C4B95">
            <w:pPr>
              <w:pStyle w:val="EMEABodyText"/>
              <w:tabs>
                <w:tab w:val="left" w:pos="3960"/>
              </w:tabs>
              <w:ind w:left="-18"/>
              <w:rPr>
                <w:i/>
                <w:sz w:val="24"/>
                <w:szCs w:val="24"/>
                <w:lang w:val="nl-NL"/>
              </w:rPr>
            </w:pPr>
            <w:r w:rsidRPr="00996C1F">
              <w:rPr>
                <w:i/>
                <w:sz w:val="24"/>
                <w:szCs w:val="24"/>
                <w:lang w:val="nl-NL"/>
              </w:rPr>
              <w:t>Voortplantingsstelsel- en borstaandoeningen</w:t>
            </w:r>
          </w:p>
        </w:tc>
        <w:tc>
          <w:tcPr>
            <w:tcW w:w="1507" w:type="dxa"/>
          </w:tcPr>
          <w:p w14:paraId="5086E7B4" w14:textId="77777777" w:rsidR="00EF3A34" w:rsidRPr="00996C1F" w:rsidDel="00B61269" w:rsidRDefault="00EF3A34" w:rsidP="008C4B95">
            <w:pPr>
              <w:pStyle w:val="EMEABodyText"/>
              <w:tabs>
                <w:tab w:val="left" w:pos="3960"/>
              </w:tabs>
              <w:rPr>
                <w:sz w:val="24"/>
                <w:szCs w:val="24"/>
                <w:lang w:val="nl-NL"/>
              </w:rPr>
            </w:pPr>
            <w:r w:rsidRPr="00996C1F">
              <w:rPr>
                <w:sz w:val="24"/>
                <w:szCs w:val="24"/>
                <w:lang w:val="nl-NL"/>
              </w:rPr>
              <w:t>Niet bekend</w:t>
            </w:r>
          </w:p>
        </w:tc>
        <w:tc>
          <w:tcPr>
            <w:tcW w:w="3623" w:type="dxa"/>
          </w:tcPr>
          <w:p w14:paraId="6273D05C" w14:textId="77777777" w:rsidR="00EF3A34" w:rsidRPr="00996C1F" w:rsidRDefault="00EF3A34" w:rsidP="008C4B95">
            <w:pPr>
              <w:pStyle w:val="EMEABodyText"/>
              <w:tabs>
                <w:tab w:val="left" w:pos="3960"/>
              </w:tabs>
              <w:rPr>
                <w:sz w:val="24"/>
                <w:szCs w:val="24"/>
                <w:lang w:val="nl-NL"/>
              </w:rPr>
            </w:pPr>
            <w:r w:rsidRPr="00996C1F">
              <w:rPr>
                <w:sz w:val="24"/>
                <w:szCs w:val="24"/>
                <w:lang w:val="nl-NL"/>
              </w:rPr>
              <w:t>een verhoging of een vermindering van de mobiliteit en het aantal spermatozoa</w:t>
            </w:r>
          </w:p>
        </w:tc>
      </w:tr>
      <w:tr w:rsidR="00EF3A34" w:rsidRPr="00996C1F" w14:paraId="39FBA4FC" w14:textId="77777777" w:rsidTr="00017F88">
        <w:tc>
          <w:tcPr>
            <w:tcW w:w="3893" w:type="dxa"/>
          </w:tcPr>
          <w:p w14:paraId="69BB91BC" w14:textId="77777777" w:rsidR="00EF3A34" w:rsidRPr="00996C1F" w:rsidRDefault="00EF3A34" w:rsidP="008C4B95">
            <w:pPr>
              <w:pStyle w:val="EMEABodyText"/>
              <w:tabs>
                <w:tab w:val="left" w:pos="3960"/>
              </w:tabs>
              <w:ind w:left="-18"/>
              <w:rPr>
                <w:i/>
                <w:sz w:val="24"/>
                <w:szCs w:val="24"/>
                <w:lang w:val="nl-NL"/>
              </w:rPr>
            </w:pPr>
            <w:r w:rsidRPr="00996C1F">
              <w:rPr>
                <w:i/>
                <w:sz w:val="24"/>
                <w:szCs w:val="24"/>
                <w:lang w:val="nl-NL"/>
              </w:rPr>
              <w:t>Algemene aandoeningen en toedieningsplaatsstoornissen</w:t>
            </w:r>
          </w:p>
        </w:tc>
        <w:tc>
          <w:tcPr>
            <w:tcW w:w="1507" w:type="dxa"/>
          </w:tcPr>
          <w:p w14:paraId="5BD2DBD2" w14:textId="77777777" w:rsidR="00EF3A34" w:rsidRPr="00996C1F" w:rsidRDefault="00EF3A34" w:rsidP="008C4B95">
            <w:pPr>
              <w:pStyle w:val="EMEABodyText"/>
              <w:tabs>
                <w:tab w:val="left" w:pos="3960"/>
              </w:tabs>
              <w:rPr>
                <w:sz w:val="24"/>
                <w:szCs w:val="24"/>
                <w:lang w:val="nl-NL"/>
              </w:rPr>
            </w:pPr>
            <w:r w:rsidRPr="00996C1F">
              <w:rPr>
                <w:sz w:val="24"/>
                <w:szCs w:val="24"/>
                <w:lang w:val="nl-NL"/>
              </w:rPr>
              <w:t>Soms</w:t>
            </w:r>
          </w:p>
        </w:tc>
        <w:tc>
          <w:tcPr>
            <w:tcW w:w="3623" w:type="dxa"/>
          </w:tcPr>
          <w:p w14:paraId="4347F12A" w14:textId="77777777" w:rsidR="00EF3A34" w:rsidRPr="00996C1F" w:rsidRDefault="00EF3A34" w:rsidP="008C4B95">
            <w:pPr>
              <w:pStyle w:val="EMEABodyText"/>
              <w:tabs>
                <w:tab w:val="left" w:pos="3960"/>
              </w:tabs>
              <w:rPr>
                <w:sz w:val="24"/>
                <w:szCs w:val="24"/>
                <w:lang w:val="nl-NL"/>
              </w:rPr>
            </w:pPr>
            <w:r w:rsidRPr="00996C1F">
              <w:rPr>
                <w:sz w:val="24"/>
                <w:szCs w:val="24"/>
                <w:lang w:val="nl-NL"/>
              </w:rPr>
              <w:t xml:space="preserve">moeheid, verstoorde wondheling,  </w:t>
            </w:r>
          </w:p>
        </w:tc>
      </w:tr>
      <w:tr w:rsidR="00EF3A34" w:rsidRPr="000852AA" w14:paraId="5B258A88" w14:textId="77777777" w:rsidTr="00017F88">
        <w:tc>
          <w:tcPr>
            <w:tcW w:w="3893" w:type="dxa"/>
          </w:tcPr>
          <w:p w14:paraId="05F53164" w14:textId="77777777" w:rsidR="00EF3A34" w:rsidRPr="00996C1F" w:rsidRDefault="00EF3A34" w:rsidP="008C4B95">
            <w:pPr>
              <w:pStyle w:val="EMEABodyText"/>
              <w:tabs>
                <w:tab w:val="left" w:pos="3960"/>
              </w:tabs>
              <w:ind w:left="-18"/>
              <w:rPr>
                <w:i/>
                <w:sz w:val="24"/>
                <w:szCs w:val="24"/>
                <w:lang w:val="nl-NL"/>
              </w:rPr>
            </w:pPr>
          </w:p>
        </w:tc>
        <w:tc>
          <w:tcPr>
            <w:tcW w:w="1507" w:type="dxa"/>
          </w:tcPr>
          <w:p w14:paraId="2A7474A3" w14:textId="77777777" w:rsidR="00EF3A34" w:rsidRPr="00996C1F" w:rsidRDefault="00EF3A34" w:rsidP="008C4B95">
            <w:pPr>
              <w:pStyle w:val="EMEABodyText"/>
              <w:tabs>
                <w:tab w:val="left" w:pos="3960"/>
              </w:tabs>
              <w:rPr>
                <w:sz w:val="24"/>
                <w:szCs w:val="24"/>
                <w:lang w:val="nl-NL"/>
              </w:rPr>
            </w:pPr>
            <w:r w:rsidRPr="00996C1F">
              <w:rPr>
                <w:sz w:val="24"/>
                <w:szCs w:val="24"/>
                <w:lang w:val="nl-NL"/>
              </w:rPr>
              <w:t>Niet bekend</w:t>
            </w:r>
          </w:p>
        </w:tc>
        <w:tc>
          <w:tcPr>
            <w:tcW w:w="3623" w:type="dxa"/>
          </w:tcPr>
          <w:p w14:paraId="50AB6A9B" w14:textId="77777777" w:rsidR="00EF3A34" w:rsidRPr="00996C1F" w:rsidDel="00EF6B79" w:rsidRDefault="00EF3A34" w:rsidP="008C4B95">
            <w:pPr>
              <w:pStyle w:val="EMEABodyText"/>
              <w:tabs>
                <w:tab w:val="left" w:pos="3960"/>
              </w:tabs>
              <w:rPr>
                <w:sz w:val="24"/>
                <w:szCs w:val="24"/>
                <w:lang w:val="nl-NL"/>
              </w:rPr>
            </w:pPr>
            <w:r w:rsidRPr="00996C1F">
              <w:rPr>
                <w:sz w:val="24"/>
                <w:szCs w:val="24"/>
                <w:lang w:val="nl-NL"/>
              </w:rPr>
              <w:t>zwelling van de mond en tong, gewichtstoename na enige tijd, vetafzetting; een ontwenningssyndroom dat wellicht geen verband houdt met bijnierinsufficiëntie en dat tot uiting komt onder de vorm van anorexie, misselijkheid en braken, lethargie, hoofdpijn, koorts, gewrichtspijn, huidafschilfering, spierpijn, gewichtsverlies en hypotensie</w:t>
            </w:r>
            <w:r w:rsidRPr="00996C1F">
              <w:rPr>
                <w:sz w:val="24"/>
                <w:szCs w:val="24"/>
                <w:vertAlign w:val="superscript"/>
                <w:lang w:val="nl-NL"/>
              </w:rPr>
              <w:t>f</w:t>
            </w:r>
          </w:p>
        </w:tc>
      </w:tr>
      <w:tr w:rsidR="00EF3A34" w:rsidRPr="000852AA" w14:paraId="0DCAC788" w14:textId="77777777" w:rsidTr="00017F88">
        <w:tc>
          <w:tcPr>
            <w:tcW w:w="3893" w:type="dxa"/>
          </w:tcPr>
          <w:p w14:paraId="4A407586" w14:textId="77777777" w:rsidR="00EF3A34" w:rsidRPr="00996C1F" w:rsidRDefault="00EF3A34" w:rsidP="008C4B95">
            <w:pPr>
              <w:pStyle w:val="EMEABodyText"/>
              <w:tabs>
                <w:tab w:val="left" w:pos="3960"/>
              </w:tabs>
              <w:ind w:left="-18"/>
              <w:rPr>
                <w:i/>
                <w:sz w:val="24"/>
                <w:szCs w:val="24"/>
                <w:lang w:val="nl-NL"/>
              </w:rPr>
            </w:pPr>
            <w:r w:rsidRPr="00996C1F">
              <w:rPr>
                <w:i/>
                <w:sz w:val="24"/>
                <w:szCs w:val="24"/>
                <w:lang w:val="nl-NL"/>
              </w:rPr>
              <w:t>Onderzoeken</w:t>
            </w:r>
          </w:p>
        </w:tc>
        <w:tc>
          <w:tcPr>
            <w:tcW w:w="1507" w:type="dxa"/>
          </w:tcPr>
          <w:p w14:paraId="25E961A9" w14:textId="77777777" w:rsidR="00EF3A34" w:rsidRPr="00996C1F" w:rsidRDefault="00EF3A34" w:rsidP="008C4B95">
            <w:pPr>
              <w:pStyle w:val="EMEABodyText"/>
              <w:tabs>
                <w:tab w:val="left" w:pos="3960"/>
              </w:tabs>
              <w:rPr>
                <w:sz w:val="24"/>
                <w:szCs w:val="24"/>
                <w:lang w:val="nl-NL"/>
              </w:rPr>
            </w:pPr>
            <w:r w:rsidRPr="00996C1F">
              <w:rPr>
                <w:sz w:val="24"/>
                <w:szCs w:val="24"/>
                <w:lang w:val="nl-NL"/>
              </w:rPr>
              <w:t>Soms</w:t>
            </w:r>
          </w:p>
        </w:tc>
        <w:tc>
          <w:tcPr>
            <w:tcW w:w="3623" w:type="dxa"/>
          </w:tcPr>
          <w:p w14:paraId="05544AEB" w14:textId="77777777" w:rsidR="00EF3A34" w:rsidRPr="00996C1F" w:rsidDel="00EF6B79" w:rsidRDefault="00EF3A34" w:rsidP="008C4B95">
            <w:pPr>
              <w:pStyle w:val="EMEABodyText"/>
              <w:tabs>
                <w:tab w:val="left" w:pos="3960"/>
              </w:tabs>
              <w:rPr>
                <w:sz w:val="24"/>
                <w:szCs w:val="24"/>
                <w:lang w:val="nl-NL"/>
              </w:rPr>
            </w:pPr>
            <w:r w:rsidRPr="00996C1F">
              <w:rPr>
                <w:sz w:val="24"/>
                <w:szCs w:val="24"/>
                <w:lang w:val="nl-NL"/>
              </w:rPr>
              <w:t>onderdrukking van de reactie op huidtests, problemen met de stikstofbalans ten gevolge van een eiwitkatabolisme, verhoging van de intra-oculaire druk, verminderde tolerantie voor koolhydraten, kaliumverlies</w:t>
            </w:r>
            <w:r w:rsidRPr="00996C1F">
              <w:rPr>
                <w:sz w:val="24"/>
                <w:szCs w:val="24"/>
                <w:vertAlign w:val="superscript"/>
                <w:lang w:val="nl-NL"/>
              </w:rPr>
              <w:t>g</w:t>
            </w:r>
            <w:r w:rsidRPr="00996C1F">
              <w:rPr>
                <w:sz w:val="24"/>
                <w:szCs w:val="24"/>
                <w:lang w:val="nl-NL"/>
              </w:rPr>
              <w:t xml:space="preserve">, </w:t>
            </w:r>
          </w:p>
        </w:tc>
      </w:tr>
      <w:tr w:rsidR="00EF3A34" w:rsidRPr="00996C1F" w14:paraId="04551FAA" w14:textId="77777777" w:rsidTr="00017F88">
        <w:tc>
          <w:tcPr>
            <w:tcW w:w="3893" w:type="dxa"/>
          </w:tcPr>
          <w:p w14:paraId="37555BB0" w14:textId="77777777" w:rsidR="00EF3A34" w:rsidRPr="00996C1F" w:rsidRDefault="00EF3A34" w:rsidP="008C4B95">
            <w:pPr>
              <w:pStyle w:val="EMEABodyText"/>
              <w:tabs>
                <w:tab w:val="left" w:pos="3960"/>
              </w:tabs>
              <w:ind w:left="-18"/>
              <w:rPr>
                <w:i/>
                <w:sz w:val="24"/>
                <w:szCs w:val="24"/>
                <w:lang w:val="nl-NL"/>
              </w:rPr>
            </w:pPr>
          </w:p>
        </w:tc>
        <w:tc>
          <w:tcPr>
            <w:tcW w:w="1507" w:type="dxa"/>
          </w:tcPr>
          <w:p w14:paraId="60AB3A04" w14:textId="77777777" w:rsidR="00EF3A34" w:rsidRPr="00996C1F" w:rsidRDefault="00EF3A34" w:rsidP="008C4B95">
            <w:pPr>
              <w:pStyle w:val="EMEABodyText"/>
              <w:tabs>
                <w:tab w:val="left" w:pos="3960"/>
              </w:tabs>
              <w:rPr>
                <w:sz w:val="24"/>
                <w:szCs w:val="24"/>
                <w:lang w:val="nl-NL"/>
              </w:rPr>
            </w:pPr>
            <w:r w:rsidRPr="00996C1F">
              <w:rPr>
                <w:sz w:val="24"/>
                <w:szCs w:val="24"/>
                <w:lang w:val="nl-NL"/>
              </w:rPr>
              <w:t>Niet bekend</w:t>
            </w:r>
          </w:p>
        </w:tc>
        <w:tc>
          <w:tcPr>
            <w:tcW w:w="3623" w:type="dxa"/>
          </w:tcPr>
          <w:p w14:paraId="23DD8572" w14:textId="77777777" w:rsidR="00EF3A34" w:rsidRPr="00996C1F" w:rsidDel="00EF6B79" w:rsidRDefault="00EF3A34" w:rsidP="008C4B95">
            <w:pPr>
              <w:pStyle w:val="EMEABodyText"/>
              <w:tabs>
                <w:tab w:val="left" w:pos="3960"/>
              </w:tabs>
              <w:rPr>
                <w:sz w:val="24"/>
                <w:szCs w:val="24"/>
                <w:lang w:val="nl-NL"/>
              </w:rPr>
            </w:pPr>
            <w:r w:rsidRPr="00996C1F">
              <w:rPr>
                <w:sz w:val="24"/>
                <w:szCs w:val="24"/>
                <w:lang w:val="nl-NL"/>
              </w:rPr>
              <w:t>Hypocalciëmie</w:t>
            </w:r>
            <w:r w:rsidRPr="00996C1F">
              <w:rPr>
                <w:sz w:val="24"/>
                <w:szCs w:val="24"/>
                <w:vertAlign w:val="superscript"/>
                <w:lang w:val="nl-NL"/>
              </w:rPr>
              <w:t>h</w:t>
            </w:r>
          </w:p>
        </w:tc>
      </w:tr>
    </w:tbl>
    <w:p w14:paraId="50AC678B" w14:textId="77777777" w:rsidR="00EF3A34" w:rsidRPr="00996C1F" w:rsidRDefault="00EF3A34" w:rsidP="00EF3A34">
      <w:pPr>
        <w:ind w:left="681"/>
        <w:rPr>
          <w:sz w:val="20"/>
          <w:szCs w:val="20"/>
          <w:lang w:val="nl-NL"/>
        </w:rPr>
      </w:pPr>
      <w:r w:rsidRPr="00996C1F">
        <w:rPr>
          <w:sz w:val="20"/>
          <w:szCs w:val="20"/>
          <w:vertAlign w:val="superscript"/>
          <w:lang w:val="nl-NL"/>
        </w:rPr>
        <w:t xml:space="preserve">a </w:t>
      </w:r>
      <w:r w:rsidRPr="00996C1F">
        <w:rPr>
          <w:sz w:val="20"/>
          <w:szCs w:val="20"/>
          <w:lang w:val="nl-NL"/>
        </w:rPr>
        <w:t>en meer bepaald Mycobacterium tuberculosis, Candida albicans en virussen</w:t>
      </w:r>
    </w:p>
    <w:p w14:paraId="010D0E7A" w14:textId="77777777" w:rsidR="00EF3A34" w:rsidRPr="00996C1F" w:rsidRDefault="00EF3A34" w:rsidP="00EF3A34">
      <w:pPr>
        <w:ind w:left="681"/>
        <w:rPr>
          <w:sz w:val="20"/>
          <w:szCs w:val="20"/>
          <w:lang w:val="nl-NL"/>
        </w:rPr>
      </w:pPr>
      <w:r w:rsidRPr="00996C1F">
        <w:rPr>
          <w:sz w:val="20"/>
          <w:szCs w:val="20"/>
          <w:u w:val="single"/>
          <w:vertAlign w:val="superscript"/>
          <w:lang w:val="nl-NL"/>
        </w:rPr>
        <w:t>b</w:t>
      </w:r>
      <w:r w:rsidRPr="00996C1F">
        <w:rPr>
          <w:sz w:val="20"/>
          <w:szCs w:val="20"/>
          <w:u w:val="single"/>
          <w:lang w:val="nl-NL"/>
        </w:rPr>
        <w:t xml:space="preserve"> </w:t>
      </w:r>
      <w:r w:rsidRPr="00996C1F">
        <w:rPr>
          <w:sz w:val="20"/>
          <w:szCs w:val="20"/>
          <w:lang w:val="nl-NL"/>
        </w:rPr>
        <w:t>in het bijzonder in geval van stress (bijvoorbeeld trauma, chirurgische ingreep of ziekte)</w:t>
      </w:r>
    </w:p>
    <w:p w14:paraId="6CF0FCAA" w14:textId="77777777" w:rsidR="00EF3A34" w:rsidRPr="00996C1F" w:rsidRDefault="00EF3A34" w:rsidP="00EF3A34">
      <w:pPr>
        <w:ind w:left="681"/>
        <w:rPr>
          <w:sz w:val="20"/>
          <w:szCs w:val="20"/>
          <w:u w:val="single"/>
          <w:lang w:val="nl-NL"/>
        </w:rPr>
      </w:pPr>
      <w:r w:rsidRPr="00996C1F">
        <w:rPr>
          <w:sz w:val="20"/>
          <w:szCs w:val="20"/>
          <w:u w:val="single"/>
          <w:vertAlign w:val="superscript"/>
          <w:lang w:val="nl-NL"/>
        </w:rPr>
        <w:t>c</w:t>
      </w:r>
      <w:r w:rsidRPr="00996C1F">
        <w:rPr>
          <w:sz w:val="20"/>
          <w:szCs w:val="20"/>
          <w:lang w:val="nl-NL"/>
        </w:rPr>
        <w:t xml:space="preserve"> er werd alleszins geen oorzakelijk verband vastgesteld.</w:t>
      </w:r>
    </w:p>
    <w:p w14:paraId="7419F540" w14:textId="77777777" w:rsidR="00EF3A34" w:rsidRPr="00996C1F" w:rsidRDefault="00EF3A34" w:rsidP="00EF3A34">
      <w:pPr>
        <w:ind w:left="681"/>
        <w:rPr>
          <w:sz w:val="20"/>
          <w:szCs w:val="20"/>
          <w:u w:val="single"/>
          <w:lang w:val="nl-NL"/>
        </w:rPr>
      </w:pPr>
      <w:r w:rsidRPr="00996C1F">
        <w:rPr>
          <w:sz w:val="20"/>
          <w:szCs w:val="20"/>
          <w:u w:val="single"/>
          <w:vertAlign w:val="superscript"/>
          <w:lang w:val="nl-NL"/>
        </w:rPr>
        <w:t>d</w:t>
      </w:r>
      <w:r w:rsidRPr="00996C1F">
        <w:rPr>
          <w:sz w:val="20"/>
          <w:szCs w:val="20"/>
          <w:u w:val="single"/>
          <w:lang w:val="nl-NL"/>
        </w:rPr>
        <w:t xml:space="preserve"> </w:t>
      </w:r>
      <w:r w:rsidRPr="00996C1F">
        <w:rPr>
          <w:sz w:val="20"/>
          <w:szCs w:val="20"/>
          <w:lang w:val="nl-NL"/>
        </w:rPr>
        <w:t>geassocieerd met hypertensie of hartinsufficiëntie</w:t>
      </w:r>
      <w:r w:rsidRPr="00996C1F" w:rsidDel="00E8074C">
        <w:rPr>
          <w:sz w:val="20"/>
          <w:szCs w:val="20"/>
          <w:u w:val="single"/>
          <w:lang w:val="nl-NL"/>
        </w:rPr>
        <w:t xml:space="preserve"> </w:t>
      </w:r>
    </w:p>
    <w:p w14:paraId="22E2886B" w14:textId="77777777" w:rsidR="00EF3A34" w:rsidRPr="00996C1F" w:rsidRDefault="00EF3A34" w:rsidP="00EF3A34">
      <w:pPr>
        <w:ind w:left="681"/>
        <w:rPr>
          <w:sz w:val="20"/>
          <w:szCs w:val="20"/>
          <w:u w:val="single"/>
          <w:vertAlign w:val="superscript"/>
          <w:lang w:val="nl-NL"/>
        </w:rPr>
      </w:pPr>
      <w:r w:rsidRPr="00996C1F">
        <w:rPr>
          <w:sz w:val="20"/>
          <w:szCs w:val="20"/>
          <w:vertAlign w:val="superscript"/>
          <w:lang w:val="nl-NL"/>
        </w:rPr>
        <w:t xml:space="preserve">e </w:t>
      </w:r>
      <w:r w:rsidRPr="00996C1F">
        <w:rPr>
          <w:sz w:val="20"/>
          <w:szCs w:val="20"/>
          <w:lang w:val="nl-NL"/>
        </w:rPr>
        <w:t>doorgaans na behandeling te wijten aan een ontwenningsfenomeen</w:t>
      </w:r>
      <w:r w:rsidRPr="00996C1F">
        <w:rPr>
          <w:sz w:val="20"/>
          <w:szCs w:val="20"/>
          <w:u w:val="single"/>
          <w:vertAlign w:val="superscript"/>
          <w:lang w:val="nl-NL"/>
        </w:rPr>
        <w:t xml:space="preserve"> </w:t>
      </w:r>
    </w:p>
    <w:p w14:paraId="67984790" w14:textId="77777777" w:rsidR="00EF3A34" w:rsidRPr="00996C1F" w:rsidRDefault="00EF3A34" w:rsidP="00EF3A34">
      <w:pPr>
        <w:ind w:left="681"/>
        <w:rPr>
          <w:sz w:val="20"/>
          <w:szCs w:val="20"/>
          <w:u w:val="single"/>
          <w:lang w:val="nl-NL"/>
        </w:rPr>
      </w:pPr>
      <w:r w:rsidRPr="00996C1F">
        <w:rPr>
          <w:sz w:val="20"/>
          <w:szCs w:val="20"/>
          <w:u w:val="single"/>
          <w:vertAlign w:val="superscript"/>
          <w:lang w:val="nl-NL"/>
        </w:rPr>
        <w:t>f</w:t>
      </w:r>
      <w:r w:rsidRPr="00996C1F">
        <w:rPr>
          <w:sz w:val="20"/>
          <w:szCs w:val="20"/>
          <w:u w:val="single"/>
          <w:lang w:val="nl-NL"/>
        </w:rPr>
        <w:t xml:space="preserve"> is gemeld na de plotse stopzetting van de behandeling met glucocorticosteroïden</w:t>
      </w:r>
    </w:p>
    <w:p w14:paraId="57FE3F38" w14:textId="77777777" w:rsidR="00EF3A34" w:rsidRPr="00996C1F" w:rsidRDefault="00EF3A34" w:rsidP="00EF3A34">
      <w:pPr>
        <w:ind w:left="681"/>
        <w:rPr>
          <w:sz w:val="20"/>
          <w:szCs w:val="20"/>
          <w:u w:val="single"/>
          <w:lang w:val="nl-NL"/>
        </w:rPr>
      </w:pPr>
      <w:r w:rsidRPr="00996C1F">
        <w:rPr>
          <w:sz w:val="20"/>
          <w:szCs w:val="20"/>
          <w:vertAlign w:val="superscript"/>
          <w:lang w:val="nl-NL"/>
        </w:rPr>
        <w:t xml:space="preserve">g </w:t>
      </w:r>
      <w:r w:rsidRPr="00996C1F">
        <w:rPr>
          <w:sz w:val="20"/>
          <w:szCs w:val="20"/>
          <w:lang w:val="nl-NL"/>
        </w:rPr>
        <w:t>kan leiden tot ECG veranderingen</w:t>
      </w:r>
      <w:r w:rsidRPr="00996C1F" w:rsidDel="00E8074C">
        <w:rPr>
          <w:sz w:val="20"/>
          <w:szCs w:val="20"/>
          <w:u w:val="single"/>
          <w:lang w:val="nl-NL"/>
        </w:rPr>
        <w:t xml:space="preserve"> </w:t>
      </w:r>
    </w:p>
    <w:p w14:paraId="4FCC345D" w14:textId="77777777" w:rsidR="00EF3A34" w:rsidRPr="00996C1F" w:rsidRDefault="00EF3A34" w:rsidP="00EF3A34">
      <w:pPr>
        <w:ind w:left="681"/>
        <w:rPr>
          <w:sz w:val="20"/>
          <w:szCs w:val="20"/>
          <w:u w:val="single"/>
          <w:lang w:val="nl-NL"/>
        </w:rPr>
      </w:pPr>
      <w:r w:rsidRPr="00996C1F">
        <w:rPr>
          <w:sz w:val="20"/>
          <w:szCs w:val="20"/>
          <w:vertAlign w:val="superscript"/>
          <w:lang w:val="nl-NL"/>
        </w:rPr>
        <w:t xml:space="preserve">h </w:t>
      </w:r>
      <w:r w:rsidRPr="00996C1F">
        <w:rPr>
          <w:sz w:val="20"/>
          <w:szCs w:val="20"/>
          <w:lang w:val="nl-NL"/>
        </w:rPr>
        <w:t>alle glucocorticosteroïden brengen een verhoogde calciumexcretie teweeg en kunnen hypocalciëmie veroorzaken</w:t>
      </w:r>
      <w:r w:rsidRPr="00996C1F" w:rsidDel="00E8074C">
        <w:rPr>
          <w:sz w:val="20"/>
          <w:szCs w:val="20"/>
          <w:u w:val="single"/>
          <w:lang w:val="nl-NL"/>
        </w:rPr>
        <w:t xml:space="preserve"> </w:t>
      </w:r>
    </w:p>
    <w:p w14:paraId="6801B8A3" w14:textId="77777777" w:rsidR="0078562A" w:rsidRPr="00996C1F" w:rsidRDefault="0078562A" w:rsidP="0047313D">
      <w:pPr>
        <w:ind w:left="681"/>
        <w:rPr>
          <w:lang w:val="nl-NL"/>
        </w:rPr>
      </w:pPr>
    </w:p>
    <w:p w14:paraId="251531CA" w14:textId="77777777" w:rsidR="00145E44" w:rsidRPr="00996C1F" w:rsidRDefault="00145E44" w:rsidP="00394833">
      <w:pPr>
        <w:ind w:left="681"/>
        <w:rPr>
          <w:lang w:val="nl-NL"/>
        </w:rPr>
      </w:pPr>
      <w:r w:rsidRPr="00996C1F">
        <w:rPr>
          <w:u w:val="single"/>
          <w:lang w:val="nl-NL"/>
        </w:rPr>
        <w:t>Na intra-articulaire toediening</w:t>
      </w:r>
      <w:r w:rsidRPr="00996C1F">
        <w:rPr>
          <w:lang w:val="nl-NL"/>
        </w:rPr>
        <w:t>:</w:t>
      </w:r>
      <w:r w:rsidR="00394833" w:rsidRPr="00996C1F">
        <w:rPr>
          <w:lang w:val="nl-NL"/>
        </w:rPr>
        <w:t xml:space="preserve"> </w:t>
      </w:r>
      <w:r w:rsidRPr="00996C1F">
        <w:rPr>
          <w:lang w:val="nl-NL"/>
        </w:rPr>
        <w:t>erytheem na de inspuiting, pijn van voorbijgaande aard, irritatie ter hoogte van de inspuitingplaats, steriel abces, hyper- of hypopigmentatie, artropathie gelijkend op de ziekte van Charcot en soms een groter ongemak ter hoogte van het gewricht;</w:t>
      </w:r>
    </w:p>
    <w:p w14:paraId="3923CD6D" w14:textId="77777777" w:rsidR="00145E44" w:rsidRPr="00996C1F" w:rsidRDefault="00145E44" w:rsidP="00145E44">
      <w:pPr>
        <w:ind w:left="681"/>
        <w:rPr>
          <w:lang w:val="nl-NL"/>
        </w:rPr>
      </w:pPr>
    </w:p>
    <w:p w14:paraId="08EA1992" w14:textId="0C0A64E7" w:rsidR="00145E44" w:rsidRPr="00996C1F" w:rsidRDefault="00145E44" w:rsidP="006D105C">
      <w:pPr>
        <w:ind w:left="681"/>
        <w:rPr>
          <w:lang w:val="nl-NL"/>
        </w:rPr>
      </w:pPr>
      <w:r w:rsidRPr="00996C1F">
        <w:rPr>
          <w:u w:val="single"/>
          <w:lang w:val="nl-NL"/>
        </w:rPr>
        <w:t>Na intradermale toediening</w:t>
      </w:r>
      <w:r w:rsidRPr="00996C1F">
        <w:rPr>
          <w:lang w:val="nl-NL"/>
        </w:rPr>
        <w:t>: voorbijgaand plaatselijk ongemak, steriel abces, hyper- of hypopigmentatie, subcutane atrofie en huidatrofie (wat doorgaans verdwijnt, tenzij de onderliggende aandoening zelf van atrofische aard is), blindheid tengevolge van inspuiting in het letsel in het gelaat, het hoofd, of de hals.</w:t>
      </w:r>
      <w:r w:rsidRPr="00996C1F">
        <w:rPr>
          <w:vanish/>
          <w:vertAlign w:val="subscript"/>
          <w:lang w:val="nl-NL"/>
        </w:rPr>
        <w:t xml:space="preserve"> </w:t>
      </w:r>
    </w:p>
    <w:p w14:paraId="17E39D61" w14:textId="77777777" w:rsidR="004F2AD8" w:rsidRPr="00996C1F" w:rsidRDefault="004F2AD8">
      <w:pPr>
        <w:tabs>
          <w:tab w:val="left" w:pos="-1440"/>
        </w:tabs>
        <w:ind w:left="1401" w:hanging="720"/>
        <w:rPr>
          <w:lang w:val="nl-NL"/>
        </w:rPr>
      </w:pPr>
    </w:p>
    <w:p w14:paraId="12195394" w14:textId="77777777" w:rsidR="0043727E" w:rsidRPr="00996C1F" w:rsidRDefault="0043727E">
      <w:pPr>
        <w:tabs>
          <w:tab w:val="left" w:pos="-1440"/>
        </w:tabs>
        <w:ind w:left="1401" w:hanging="720"/>
        <w:rPr>
          <w:lang w:val="nl-NL"/>
        </w:rPr>
      </w:pPr>
    </w:p>
    <w:p w14:paraId="70A81739" w14:textId="77777777" w:rsidR="00DB1942" w:rsidRPr="00436435" w:rsidRDefault="00DB1942" w:rsidP="00DB1942">
      <w:pPr>
        <w:suppressAutoHyphens/>
        <w:ind w:left="681"/>
        <w:rPr>
          <w:u w:val="single"/>
          <w:lang w:val="nl-BE"/>
        </w:rPr>
      </w:pPr>
      <w:r w:rsidRPr="00436435">
        <w:rPr>
          <w:u w:val="single"/>
          <w:lang w:val="nl-BE"/>
        </w:rPr>
        <w:t>Melding van vermoedelijke bijwerkingen</w:t>
      </w:r>
    </w:p>
    <w:p w14:paraId="7B8FEA54" w14:textId="77777777" w:rsidR="00DB1942" w:rsidRPr="00996C1F" w:rsidRDefault="00DB1942" w:rsidP="00DB1942">
      <w:pPr>
        <w:suppressAutoHyphens/>
        <w:ind w:left="681"/>
        <w:rPr>
          <w:color w:val="008000"/>
          <w:lang w:val="nl-BE"/>
        </w:rPr>
      </w:pPr>
      <w:r w:rsidRPr="00436435">
        <w:rPr>
          <w:lang w:val="nl-BE"/>
        </w:rPr>
        <w:lastRenderedPageBreak/>
        <w:t>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w:t>
      </w:r>
    </w:p>
    <w:p w14:paraId="5B1D85D6" w14:textId="77777777" w:rsidR="002B79DD" w:rsidRDefault="002B79DD" w:rsidP="002B79DD">
      <w:pPr>
        <w:tabs>
          <w:tab w:val="left" w:pos="-1440"/>
        </w:tabs>
        <w:ind w:left="1401" w:hanging="720"/>
        <w:rPr>
          <w:lang w:val="nl-NL"/>
        </w:rPr>
      </w:pPr>
    </w:p>
    <w:p w14:paraId="16A43D2F" w14:textId="77777777" w:rsidR="00420A0F" w:rsidRPr="00420A0F" w:rsidRDefault="00420A0F" w:rsidP="002B79DD">
      <w:pPr>
        <w:tabs>
          <w:tab w:val="left" w:pos="-1440"/>
        </w:tabs>
        <w:ind w:left="1401" w:hanging="720"/>
        <w:rPr>
          <w:b/>
          <w:lang w:val="nl-NL"/>
        </w:rPr>
      </w:pPr>
      <w:r w:rsidRPr="00420A0F">
        <w:rPr>
          <w:b/>
          <w:lang w:val="nl-NL"/>
        </w:rPr>
        <w:t>Belgi</w:t>
      </w:r>
      <w:r w:rsidR="0058205B">
        <w:rPr>
          <w:b/>
          <w:lang w:val="nl-NL"/>
        </w:rPr>
        <w:t>ë</w:t>
      </w:r>
      <w:r w:rsidRPr="00420A0F">
        <w:rPr>
          <w:b/>
          <w:lang w:val="nl-NL"/>
        </w:rPr>
        <w:t>:</w:t>
      </w:r>
    </w:p>
    <w:p w14:paraId="3D746DAB" w14:textId="77777777" w:rsidR="007F0CFA" w:rsidRPr="006D105C" w:rsidRDefault="007F0CFA" w:rsidP="007F0CFA">
      <w:pPr>
        <w:ind w:left="681"/>
        <w:rPr>
          <w:lang w:val="nl-BE"/>
        </w:rPr>
      </w:pPr>
      <w:r w:rsidRPr="006D105C">
        <w:rPr>
          <w:lang w:val="nl-BE"/>
        </w:rPr>
        <w:t>Federaal Agentschap voor Geneesmiddelen en Gezondheidsproducten</w:t>
      </w:r>
    </w:p>
    <w:p w14:paraId="36A01DD3" w14:textId="184AAB30" w:rsidR="007F0CFA" w:rsidRPr="006D105C" w:rsidRDefault="007F0CFA" w:rsidP="007F0CFA">
      <w:pPr>
        <w:ind w:left="681"/>
        <w:rPr>
          <w:lang w:val="nl-BE"/>
        </w:rPr>
      </w:pPr>
      <w:r w:rsidRPr="006D105C">
        <w:rPr>
          <w:lang w:val="nl-BE"/>
        </w:rPr>
        <w:t>Afdeling Vigilantie</w:t>
      </w:r>
    </w:p>
    <w:p w14:paraId="19C1B909" w14:textId="77777777" w:rsidR="00164FF6" w:rsidRPr="006D105C" w:rsidRDefault="00164FF6" w:rsidP="00164FF6">
      <w:pPr>
        <w:ind w:left="681"/>
        <w:rPr>
          <w:lang w:val="nl-BE"/>
        </w:rPr>
      </w:pPr>
      <w:r w:rsidRPr="006D105C">
        <w:rPr>
          <w:lang w:val="nl-BE"/>
        </w:rPr>
        <w:t>Postbus 97</w:t>
      </w:r>
    </w:p>
    <w:p w14:paraId="03960544" w14:textId="37E45279" w:rsidR="007F0CFA" w:rsidRPr="006D105C" w:rsidRDefault="00164FF6" w:rsidP="00164FF6">
      <w:pPr>
        <w:ind w:left="681"/>
        <w:rPr>
          <w:lang w:val="nl-BE"/>
        </w:rPr>
      </w:pPr>
      <w:r w:rsidRPr="006D105C">
        <w:rPr>
          <w:lang w:val="nl-BE"/>
        </w:rPr>
        <w:t>1000 BRUSSEL Madou</w:t>
      </w:r>
    </w:p>
    <w:p w14:paraId="06DA69D3" w14:textId="0B2FA50F" w:rsidR="007F0CFA" w:rsidRPr="000852AA" w:rsidRDefault="007F0CFA" w:rsidP="007F0CFA">
      <w:pPr>
        <w:ind w:left="681"/>
        <w:rPr>
          <w:lang w:val="fr-BE"/>
        </w:rPr>
      </w:pPr>
      <w:proofErr w:type="gramStart"/>
      <w:r w:rsidRPr="000852AA">
        <w:rPr>
          <w:lang w:val="fr-BE"/>
        </w:rPr>
        <w:t>Website:</w:t>
      </w:r>
      <w:proofErr w:type="gramEnd"/>
      <w:r w:rsidRPr="000852AA">
        <w:rPr>
          <w:lang w:val="fr-BE"/>
        </w:rPr>
        <w:t xml:space="preserve"> </w:t>
      </w:r>
      <w:hyperlink r:id="rId7" w:history="1">
        <w:r w:rsidR="006D105C" w:rsidRPr="000852AA">
          <w:rPr>
            <w:rStyle w:val="Hyperlink"/>
            <w:lang w:val="fr-BE"/>
          </w:rPr>
          <w:t>www.eenbijwerkingmelden.be</w:t>
        </w:r>
      </w:hyperlink>
      <w:r w:rsidR="006D105C" w:rsidRPr="000852AA">
        <w:rPr>
          <w:lang w:val="fr-BE"/>
        </w:rPr>
        <w:t xml:space="preserve"> </w:t>
      </w:r>
    </w:p>
    <w:p w14:paraId="041A77BB" w14:textId="69E6F1D2" w:rsidR="007F0CFA" w:rsidRPr="000852AA" w:rsidRDefault="007F0CFA" w:rsidP="007F0CFA">
      <w:pPr>
        <w:ind w:left="681"/>
        <w:rPr>
          <w:lang w:val="fr-BE"/>
        </w:rPr>
      </w:pPr>
      <w:proofErr w:type="gramStart"/>
      <w:r w:rsidRPr="000852AA">
        <w:rPr>
          <w:lang w:val="fr-BE"/>
        </w:rPr>
        <w:t>e-mail:</w:t>
      </w:r>
      <w:proofErr w:type="gramEnd"/>
      <w:r w:rsidRPr="000852AA">
        <w:rPr>
          <w:lang w:val="fr-BE"/>
        </w:rPr>
        <w:t xml:space="preserve"> </w:t>
      </w:r>
      <w:hyperlink r:id="rId8" w:history="1">
        <w:r w:rsidR="006D105C" w:rsidRPr="000852AA">
          <w:rPr>
            <w:rStyle w:val="Hyperlink"/>
            <w:lang w:val="fr-BE"/>
          </w:rPr>
          <w:t>adr@fagg.be</w:t>
        </w:r>
      </w:hyperlink>
      <w:r w:rsidR="006D105C" w:rsidRPr="000852AA">
        <w:rPr>
          <w:lang w:val="fr-BE"/>
        </w:rPr>
        <w:t xml:space="preserve"> </w:t>
      </w:r>
    </w:p>
    <w:p w14:paraId="3BDFCD1C" w14:textId="77777777" w:rsidR="007F0CFA" w:rsidRPr="000852AA" w:rsidRDefault="007F0CFA" w:rsidP="002B79DD">
      <w:pPr>
        <w:tabs>
          <w:tab w:val="left" w:pos="-1440"/>
        </w:tabs>
        <w:ind w:left="1401" w:hanging="720"/>
        <w:rPr>
          <w:lang w:val="fr-BE"/>
        </w:rPr>
      </w:pPr>
    </w:p>
    <w:p w14:paraId="64188803" w14:textId="77777777" w:rsidR="0078562A" w:rsidRPr="000852AA" w:rsidRDefault="0078562A">
      <w:pPr>
        <w:tabs>
          <w:tab w:val="left" w:pos="-1440"/>
        </w:tabs>
        <w:ind w:left="1401" w:hanging="720"/>
        <w:rPr>
          <w:lang w:val="fr-BE"/>
        </w:rPr>
      </w:pPr>
    </w:p>
    <w:p w14:paraId="1C26C484" w14:textId="77777777" w:rsidR="004F2AD8" w:rsidRPr="00017F88" w:rsidRDefault="004F2AD8">
      <w:pPr>
        <w:pStyle w:val="Heading3"/>
        <w:rPr>
          <w:b/>
          <w:u w:val="none"/>
          <w:lang w:val="nl-NL"/>
        </w:rPr>
      </w:pPr>
      <w:r w:rsidRPr="00017F88">
        <w:rPr>
          <w:b/>
          <w:u w:val="none"/>
          <w:lang w:val="nl-NL"/>
        </w:rPr>
        <w:t>4.9</w:t>
      </w:r>
      <w:r w:rsidRPr="00017F88">
        <w:rPr>
          <w:b/>
          <w:u w:val="none"/>
          <w:lang w:val="nl-NL"/>
        </w:rPr>
        <w:tab/>
        <w:t>Overdosering</w:t>
      </w:r>
    </w:p>
    <w:p w14:paraId="164DC53C" w14:textId="77777777" w:rsidR="004F2AD8" w:rsidRPr="00996C1F" w:rsidRDefault="004F2AD8">
      <w:pPr>
        <w:ind w:left="681"/>
        <w:rPr>
          <w:lang w:val="nl-NL"/>
        </w:rPr>
      </w:pPr>
    </w:p>
    <w:p w14:paraId="40945B00" w14:textId="77777777" w:rsidR="004F2AD8" w:rsidRPr="00996C1F" w:rsidRDefault="004F2AD8">
      <w:pPr>
        <w:tabs>
          <w:tab w:val="left" w:pos="-1440"/>
        </w:tabs>
        <w:ind w:left="681"/>
        <w:rPr>
          <w:lang w:val="nl-NL"/>
        </w:rPr>
      </w:pPr>
      <w:r w:rsidRPr="00996C1F">
        <w:rPr>
          <w:lang w:val="nl-NL"/>
        </w:rPr>
        <w:t>Er bestaat geen specifiek antidotum in geval van overdosering. Er moet een symptomatische behandeling worden ingesteld.</w:t>
      </w:r>
    </w:p>
    <w:p w14:paraId="1673DE6D" w14:textId="6BCBE1B0" w:rsidR="004F2AD8" w:rsidRPr="00996C1F" w:rsidRDefault="004F2AD8">
      <w:pPr>
        <w:tabs>
          <w:tab w:val="left" w:pos="-1440"/>
        </w:tabs>
        <w:ind w:left="681"/>
        <w:rPr>
          <w:lang w:val="nl-NL"/>
        </w:rPr>
      </w:pPr>
      <w:r w:rsidRPr="00996C1F">
        <w:rPr>
          <w:lang w:val="nl-NL"/>
        </w:rPr>
        <w:t xml:space="preserve">Overdosering kan de systemische effecten beschreven in het hoofdstuk </w:t>
      </w:r>
      <w:r w:rsidR="00DB1942" w:rsidRPr="00996C1F">
        <w:rPr>
          <w:lang w:val="nl-NL"/>
        </w:rPr>
        <w:t xml:space="preserve">4.8 </w:t>
      </w:r>
      <w:r w:rsidRPr="00996C1F">
        <w:rPr>
          <w:lang w:val="nl-NL"/>
        </w:rPr>
        <w:t>uitlokken.</w:t>
      </w:r>
    </w:p>
    <w:p w14:paraId="7628C3C0" w14:textId="77777777" w:rsidR="004F2AD8" w:rsidRPr="00996C1F" w:rsidRDefault="004F2AD8">
      <w:pPr>
        <w:tabs>
          <w:tab w:val="left" w:pos="-1440"/>
        </w:tabs>
        <w:ind w:left="681"/>
        <w:rPr>
          <w:rFonts w:ascii="Univers" w:hAnsi="Univers"/>
          <w:lang w:val="nl-NL"/>
        </w:rPr>
      </w:pPr>
    </w:p>
    <w:p w14:paraId="14EA99E2" w14:textId="77777777" w:rsidR="004F2AD8" w:rsidRPr="00EE4058" w:rsidRDefault="004F2AD8">
      <w:pPr>
        <w:pStyle w:val="Heading2"/>
        <w:rPr>
          <w:lang w:val="nl-NL"/>
        </w:rPr>
      </w:pPr>
      <w:r w:rsidRPr="00EE4058">
        <w:rPr>
          <w:lang w:val="nl-NL"/>
        </w:rPr>
        <w:t>5.</w:t>
      </w:r>
      <w:r w:rsidRPr="00EE4058">
        <w:rPr>
          <w:lang w:val="nl-NL"/>
        </w:rPr>
        <w:tab/>
        <w:t>FARMACOLOGISCHE EIGENSCHAPPEN</w:t>
      </w:r>
    </w:p>
    <w:p w14:paraId="071E33C5" w14:textId="77777777" w:rsidR="004F2AD8" w:rsidRPr="00EE4058" w:rsidRDefault="004F2AD8">
      <w:pPr>
        <w:ind w:left="681"/>
        <w:rPr>
          <w:lang w:val="nl-NL"/>
        </w:rPr>
      </w:pPr>
    </w:p>
    <w:p w14:paraId="2CB4B6AD" w14:textId="77777777" w:rsidR="004F2AD8" w:rsidRPr="00EE4058" w:rsidRDefault="004F2AD8">
      <w:pPr>
        <w:pStyle w:val="Heading3"/>
        <w:rPr>
          <w:b/>
          <w:u w:val="none"/>
          <w:lang w:val="nl-NL"/>
        </w:rPr>
      </w:pPr>
      <w:r w:rsidRPr="00EE4058">
        <w:rPr>
          <w:b/>
          <w:u w:val="none"/>
          <w:lang w:val="nl-NL"/>
        </w:rPr>
        <w:t>5.1</w:t>
      </w:r>
      <w:r w:rsidRPr="00EE4058">
        <w:rPr>
          <w:b/>
          <w:u w:val="none"/>
          <w:lang w:val="nl-NL"/>
        </w:rPr>
        <w:tab/>
        <w:t>Farmacodynamische eigenschappen</w:t>
      </w:r>
    </w:p>
    <w:p w14:paraId="2BD0E7D6" w14:textId="77777777" w:rsidR="004F2AD8" w:rsidRPr="00EE4058" w:rsidRDefault="004F2AD8">
      <w:pPr>
        <w:ind w:left="681"/>
        <w:rPr>
          <w:lang w:val="nl-NL"/>
        </w:rPr>
      </w:pPr>
    </w:p>
    <w:p w14:paraId="085AC02E" w14:textId="77777777" w:rsidR="004F2AD8" w:rsidRPr="00EE4058" w:rsidRDefault="004F2AD8">
      <w:pPr>
        <w:ind w:left="681"/>
        <w:rPr>
          <w:lang w:val="nl-NL"/>
        </w:rPr>
      </w:pPr>
      <w:r w:rsidRPr="00EE4058">
        <w:rPr>
          <w:lang w:val="nl-NL"/>
        </w:rPr>
        <w:t xml:space="preserve">Farmacotherapeutische categorie: </w:t>
      </w:r>
      <w:r w:rsidRPr="00EE4058">
        <w:rPr>
          <w:caps/>
          <w:lang w:val="nl-NL"/>
        </w:rPr>
        <w:t>SYNTHETISCHE GlucocorticoïdeN</w:t>
      </w:r>
      <w:r w:rsidRPr="00EE4058">
        <w:rPr>
          <w:lang w:val="nl-NL"/>
        </w:rPr>
        <w:t xml:space="preserve">, </w:t>
      </w:r>
      <w:r w:rsidRPr="00EE4058">
        <w:rPr>
          <w:lang w:val="nl-NL"/>
        </w:rPr>
        <w:br/>
        <w:t>ATC-code: H02A B08</w:t>
      </w:r>
    </w:p>
    <w:p w14:paraId="1C8B6A79" w14:textId="77777777" w:rsidR="004F2AD8" w:rsidRPr="00EE4058" w:rsidRDefault="004F2AD8">
      <w:pPr>
        <w:ind w:left="681"/>
        <w:rPr>
          <w:lang w:val="nl-NL"/>
        </w:rPr>
      </w:pPr>
    </w:p>
    <w:p w14:paraId="2B805B8E" w14:textId="77777777" w:rsidR="004F2AD8" w:rsidRPr="00EE4058" w:rsidRDefault="004F2AD8">
      <w:pPr>
        <w:ind w:left="681"/>
        <w:rPr>
          <w:lang w:val="nl-NL"/>
        </w:rPr>
      </w:pPr>
      <w:r w:rsidRPr="00EE4058">
        <w:rPr>
          <w:lang w:val="nl-NL"/>
        </w:rPr>
        <w:t>Triamcinolonacetonide is een gefluoreerd glucocorticosteroïd ofte 9-alfa fluoro-16-alfa hydroxyprednisolone.</w:t>
      </w:r>
    </w:p>
    <w:p w14:paraId="764527E1" w14:textId="77777777" w:rsidR="004F2AD8" w:rsidRPr="00996C1F" w:rsidRDefault="004F2AD8">
      <w:pPr>
        <w:ind w:left="681"/>
        <w:rPr>
          <w:lang w:val="nl-NL"/>
        </w:rPr>
      </w:pPr>
      <w:r w:rsidRPr="00996C1F">
        <w:rPr>
          <w:lang w:val="nl-NL"/>
        </w:rPr>
        <w:t>Door hun inwerking op de stofwisseling van koolhydraten, eiwitten en lipiden bevorderen glucocorticosteroïden de glyconeogenese ter hoogte van de lever, evenals de katabole activiteit ter hoogte van de spieren, de huid en het lymfatische vet- en bindweefsel.  Het algemene werkingsmechanisme van de glucocorticoïden berust op een stimulering en een inductie van de synthese van eiwitten in de lever enerzijds, en een afremming van de synthese van de perifere eiwitten en van de resorptie en het gebruik van glucose anderzijds. Het katabole effect ter hoogte van de spieren en het lymfatische vet- en bindweefsel lijkt teweeggebracht door de afremming van de glucoseresorptie.  Dit katabole effect van glucocorticosteroïden is verantwoordelijk voor een versnelde afbraak van eiwitten en RNA en levert aminozuren voor de gluconeogenese in de lever.</w:t>
      </w:r>
    </w:p>
    <w:p w14:paraId="5617E603" w14:textId="77777777" w:rsidR="004F2AD8" w:rsidRPr="00996C1F" w:rsidRDefault="004F2AD8">
      <w:pPr>
        <w:ind w:left="681"/>
        <w:rPr>
          <w:lang w:val="nl-NL"/>
        </w:rPr>
      </w:pPr>
    </w:p>
    <w:p w14:paraId="6DDFE3EB" w14:textId="77777777" w:rsidR="004F2AD8" w:rsidRPr="00996C1F" w:rsidRDefault="004F2AD8">
      <w:pPr>
        <w:ind w:left="681"/>
        <w:rPr>
          <w:lang w:val="nl-NL"/>
        </w:rPr>
      </w:pPr>
    </w:p>
    <w:p w14:paraId="41379E9D" w14:textId="1750DB27" w:rsidR="004F2AD8" w:rsidRPr="00996C1F" w:rsidRDefault="004F2AD8">
      <w:pPr>
        <w:ind w:left="681"/>
        <w:rPr>
          <w:lang w:val="nl-NL"/>
        </w:rPr>
      </w:pPr>
      <w:r w:rsidRPr="00996C1F">
        <w:rPr>
          <w:lang w:val="nl-NL"/>
        </w:rPr>
        <w:t>Cortico</w:t>
      </w:r>
      <w:r w:rsidR="00966F4E">
        <w:rPr>
          <w:lang w:val="nl-NL"/>
        </w:rPr>
        <w:t>ste</w:t>
      </w:r>
      <w:r w:rsidRPr="00996C1F">
        <w:rPr>
          <w:lang w:val="nl-NL"/>
        </w:rPr>
        <w:t>roïden</w:t>
      </w:r>
    </w:p>
    <w:p w14:paraId="0DCCCAC6" w14:textId="77777777" w:rsidR="004F2AD8" w:rsidRPr="00996C1F" w:rsidRDefault="004F2AD8">
      <w:pPr>
        <w:numPr>
          <w:ilvl w:val="0"/>
          <w:numId w:val="25"/>
        </w:numPr>
        <w:tabs>
          <w:tab w:val="clear" w:pos="360"/>
          <w:tab w:val="left" w:pos="-1440"/>
          <w:tab w:val="num" w:pos="1041"/>
        </w:tabs>
        <w:ind w:left="1041"/>
        <w:rPr>
          <w:lang w:val="nl-NL"/>
        </w:rPr>
      </w:pPr>
      <w:r w:rsidRPr="00996C1F">
        <w:rPr>
          <w:lang w:val="nl-NL"/>
        </w:rPr>
        <w:t>remmen de werking af van de migratie-inhiberende factor en van de chemotactische factor; dit leidt tot afremming van de endotheliale aanhechtingskracht van de leukocyten en de macrofagen.</w:t>
      </w:r>
    </w:p>
    <w:p w14:paraId="048BCA53" w14:textId="77777777" w:rsidR="004F2AD8" w:rsidRPr="00996C1F" w:rsidRDefault="004F2AD8">
      <w:pPr>
        <w:numPr>
          <w:ilvl w:val="0"/>
          <w:numId w:val="25"/>
        </w:numPr>
        <w:tabs>
          <w:tab w:val="clear" w:pos="360"/>
          <w:tab w:val="left" w:pos="-1440"/>
          <w:tab w:val="num" w:pos="1041"/>
        </w:tabs>
        <w:ind w:left="1041"/>
        <w:rPr>
          <w:lang w:val="nl-NL"/>
        </w:rPr>
      </w:pPr>
      <w:r w:rsidRPr="00996C1F">
        <w:rPr>
          <w:lang w:val="nl-NL"/>
        </w:rPr>
        <w:t>tasten het antigeen vermogen van de macrofagen aan.</w:t>
      </w:r>
    </w:p>
    <w:p w14:paraId="01DD9511" w14:textId="77777777" w:rsidR="004F2AD8" w:rsidRPr="00996C1F" w:rsidRDefault="004F2AD8">
      <w:pPr>
        <w:numPr>
          <w:ilvl w:val="0"/>
          <w:numId w:val="25"/>
        </w:numPr>
        <w:tabs>
          <w:tab w:val="clear" w:pos="360"/>
          <w:tab w:val="left" w:pos="-1440"/>
          <w:tab w:val="num" w:pos="1041"/>
        </w:tabs>
        <w:ind w:left="1041"/>
        <w:rPr>
          <w:lang w:val="nl-NL"/>
        </w:rPr>
      </w:pPr>
      <w:r w:rsidRPr="00996C1F">
        <w:rPr>
          <w:lang w:val="nl-NL"/>
        </w:rPr>
        <w:t>stabiliseren de membranen van de lysosomen.</w:t>
      </w:r>
    </w:p>
    <w:p w14:paraId="2CAC6885" w14:textId="77777777" w:rsidR="004F2AD8" w:rsidRPr="00996C1F" w:rsidRDefault="004F2AD8">
      <w:pPr>
        <w:numPr>
          <w:ilvl w:val="0"/>
          <w:numId w:val="25"/>
        </w:numPr>
        <w:tabs>
          <w:tab w:val="clear" w:pos="360"/>
          <w:tab w:val="left" w:pos="-1440"/>
          <w:tab w:val="num" w:pos="1041"/>
        </w:tabs>
        <w:ind w:left="1041"/>
        <w:rPr>
          <w:lang w:val="nl-NL"/>
        </w:rPr>
      </w:pPr>
      <w:r w:rsidRPr="00996C1F">
        <w:rPr>
          <w:lang w:val="nl-NL"/>
        </w:rPr>
        <w:t>blokkeren de verhoging van de capillaire permeabiliteit.</w:t>
      </w:r>
    </w:p>
    <w:p w14:paraId="6D328AC3" w14:textId="77777777" w:rsidR="004F2AD8" w:rsidRPr="00996C1F" w:rsidRDefault="004F2AD8">
      <w:pPr>
        <w:ind w:left="681"/>
        <w:rPr>
          <w:lang w:val="nl-NL"/>
        </w:rPr>
      </w:pPr>
    </w:p>
    <w:p w14:paraId="47024084" w14:textId="77777777" w:rsidR="004F2AD8" w:rsidRPr="00996C1F" w:rsidRDefault="004F2AD8">
      <w:pPr>
        <w:ind w:left="681"/>
        <w:rPr>
          <w:lang w:val="nl-NL"/>
        </w:rPr>
      </w:pPr>
      <w:r w:rsidRPr="00996C1F">
        <w:rPr>
          <w:lang w:val="nl-NL"/>
        </w:rPr>
        <w:t>Triamcinolonacetonide oefent geen mineralocorticoïde activiteit uit.</w:t>
      </w:r>
    </w:p>
    <w:p w14:paraId="3C71F486" w14:textId="77777777" w:rsidR="004F2AD8" w:rsidRPr="00996C1F" w:rsidRDefault="004F2AD8">
      <w:pPr>
        <w:ind w:left="681"/>
        <w:rPr>
          <w:lang w:val="nl-NL"/>
        </w:rPr>
      </w:pPr>
      <w:r w:rsidRPr="00996C1F">
        <w:rPr>
          <w:lang w:val="nl-NL"/>
        </w:rPr>
        <w:lastRenderedPageBreak/>
        <w:t>De ontstekingswerende werking ervan is krachtiger dan die van hydrocortison: 1 mg triamcinolonacetonide per os is evenwaardig aan 50 mg hydrocortison.</w:t>
      </w:r>
    </w:p>
    <w:p w14:paraId="7ABE9A15" w14:textId="77777777" w:rsidR="004F2AD8" w:rsidRPr="00996C1F" w:rsidRDefault="004F2AD8">
      <w:pPr>
        <w:ind w:left="681"/>
        <w:rPr>
          <w:strike/>
          <w:lang w:val="nl-NL"/>
        </w:rPr>
      </w:pPr>
    </w:p>
    <w:p w14:paraId="7D2A1CEC" w14:textId="77777777" w:rsidR="004F2AD8" w:rsidRPr="00017F88" w:rsidRDefault="004F2AD8">
      <w:pPr>
        <w:pStyle w:val="Heading3"/>
        <w:rPr>
          <w:b/>
          <w:u w:val="none"/>
          <w:lang w:val="nl-NL"/>
        </w:rPr>
      </w:pPr>
      <w:r w:rsidRPr="00017F88">
        <w:rPr>
          <w:b/>
          <w:u w:val="none"/>
          <w:lang w:val="nl-NL"/>
        </w:rPr>
        <w:t>5.2</w:t>
      </w:r>
      <w:r w:rsidRPr="00017F88">
        <w:rPr>
          <w:b/>
          <w:u w:val="none"/>
          <w:lang w:val="nl-NL"/>
        </w:rPr>
        <w:tab/>
        <w:t xml:space="preserve">Farmacokinetische </w:t>
      </w:r>
      <w:r w:rsidR="00144EA4" w:rsidRPr="00017F88">
        <w:rPr>
          <w:b/>
          <w:u w:val="none"/>
          <w:lang w:val="nl-NL"/>
        </w:rPr>
        <w:t>eigenschappen</w:t>
      </w:r>
    </w:p>
    <w:p w14:paraId="53A48F55" w14:textId="77777777" w:rsidR="004F2AD8" w:rsidRPr="00996C1F" w:rsidRDefault="004F2AD8">
      <w:pPr>
        <w:ind w:left="681"/>
        <w:rPr>
          <w:lang w:val="nl-NL"/>
        </w:rPr>
      </w:pPr>
    </w:p>
    <w:p w14:paraId="59DF7FBC" w14:textId="77777777" w:rsidR="00AA5893" w:rsidRDefault="00AA5893">
      <w:pPr>
        <w:ind w:left="681"/>
        <w:rPr>
          <w:lang w:val="nl-NL"/>
        </w:rPr>
      </w:pPr>
      <w:r w:rsidRPr="00AA5893">
        <w:rPr>
          <w:noProof/>
          <w:szCs w:val="22"/>
          <w:u w:val="single"/>
          <w:lang w:val="nl-BE"/>
        </w:rPr>
        <w:t>Absorptie</w:t>
      </w:r>
      <w:r w:rsidRPr="00996C1F">
        <w:rPr>
          <w:lang w:val="nl-NL"/>
        </w:rPr>
        <w:t xml:space="preserve"> </w:t>
      </w:r>
    </w:p>
    <w:p w14:paraId="6B1B849F" w14:textId="6F4C36CE" w:rsidR="004F2AD8" w:rsidRPr="00996C1F" w:rsidRDefault="004F2AD8">
      <w:pPr>
        <w:ind w:left="681"/>
        <w:rPr>
          <w:lang w:val="nl-NL"/>
        </w:rPr>
      </w:pPr>
      <w:r w:rsidRPr="00996C1F">
        <w:rPr>
          <w:lang w:val="nl-NL"/>
        </w:rPr>
        <w:t>Triamcinolonacetonide is binnen 2 tot 3 weken na intra-articulaire inspuiting volledig systemisch geabsorbeerd.</w:t>
      </w:r>
    </w:p>
    <w:p w14:paraId="19BBB250" w14:textId="77777777" w:rsidR="004F2AD8" w:rsidRPr="00996C1F" w:rsidRDefault="004F2AD8">
      <w:pPr>
        <w:ind w:left="681"/>
        <w:rPr>
          <w:lang w:val="nl-NL"/>
        </w:rPr>
      </w:pPr>
      <w:r w:rsidRPr="00996C1F">
        <w:rPr>
          <w:lang w:val="nl-NL"/>
        </w:rPr>
        <w:t xml:space="preserve">De onderdrukking van de secretie van endogeen hydrocortison hangt af van het gehalte corticosteroïden van exogene oorsprong (zie ook </w:t>
      </w:r>
      <w:r w:rsidR="00DB1942" w:rsidRPr="00996C1F">
        <w:rPr>
          <w:lang w:val="nl-NL"/>
        </w:rPr>
        <w:t>rubriek 4.4</w:t>
      </w:r>
      <w:r w:rsidRPr="00996C1F">
        <w:rPr>
          <w:lang w:val="nl-NL"/>
        </w:rPr>
        <w:t>).</w:t>
      </w:r>
    </w:p>
    <w:p w14:paraId="50B465ED" w14:textId="77777777" w:rsidR="004F2AD8" w:rsidRPr="00996C1F" w:rsidRDefault="004F2AD8">
      <w:pPr>
        <w:ind w:left="681"/>
        <w:rPr>
          <w:lang w:val="nl-NL"/>
        </w:rPr>
      </w:pPr>
    </w:p>
    <w:p w14:paraId="33B71E26" w14:textId="77777777" w:rsidR="004F2AD8" w:rsidRPr="00996C1F" w:rsidRDefault="004F2AD8">
      <w:pPr>
        <w:ind w:left="681"/>
        <w:rPr>
          <w:rFonts w:ascii="Univers" w:hAnsi="Univers"/>
          <w:lang w:val="nl-NL"/>
        </w:rPr>
      </w:pPr>
      <w:r w:rsidRPr="00996C1F">
        <w:rPr>
          <w:lang w:val="nl-NL"/>
        </w:rPr>
        <w:t>Voor intradermale inspuiting wordt doorgaans een lage dosis triamcinolonacetonide gebruikt. In geval van herhaald gebruik of van toediening van hoge dosissen moet evenwel rekening worden gehouden met de systemische absorptie.</w:t>
      </w:r>
    </w:p>
    <w:p w14:paraId="130C649C" w14:textId="77777777" w:rsidR="004F2AD8" w:rsidRPr="00996C1F" w:rsidRDefault="004F2AD8">
      <w:pPr>
        <w:tabs>
          <w:tab w:val="left" w:pos="600"/>
          <w:tab w:val="left" w:pos="1200"/>
          <w:tab w:val="left" w:pos="1800"/>
          <w:tab w:val="left" w:pos="2400"/>
          <w:tab w:val="left" w:pos="3000"/>
          <w:tab w:val="left" w:pos="3600"/>
          <w:tab w:val="left" w:pos="4200"/>
          <w:tab w:val="left" w:pos="4320"/>
          <w:tab w:val="left" w:pos="4800"/>
          <w:tab w:val="left" w:pos="5400"/>
          <w:tab w:val="left" w:pos="6000"/>
          <w:tab w:val="left" w:pos="6600"/>
          <w:tab w:val="left" w:pos="7200"/>
          <w:tab w:val="left" w:pos="7800"/>
          <w:tab w:val="left" w:pos="8400"/>
        </w:tabs>
        <w:rPr>
          <w:lang w:val="nl-NL"/>
        </w:rPr>
      </w:pPr>
    </w:p>
    <w:p w14:paraId="5D7C6F1D" w14:textId="77777777" w:rsidR="004F2AD8" w:rsidRPr="00017F88" w:rsidRDefault="004F2AD8">
      <w:pPr>
        <w:pStyle w:val="Heading3"/>
        <w:rPr>
          <w:b/>
          <w:u w:val="none"/>
          <w:lang w:val="nl-NL"/>
        </w:rPr>
      </w:pPr>
      <w:r w:rsidRPr="00017F88">
        <w:rPr>
          <w:b/>
          <w:u w:val="none"/>
          <w:lang w:val="nl-NL"/>
        </w:rPr>
        <w:t>5.3</w:t>
      </w:r>
      <w:r w:rsidRPr="00017F88">
        <w:rPr>
          <w:b/>
          <w:u w:val="none"/>
          <w:lang w:val="nl-NL"/>
        </w:rPr>
        <w:tab/>
        <w:t xml:space="preserve">Gegevens uit </w:t>
      </w:r>
      <w:r w:rsidR="00144EA4" w:rsidRPr="00017F88">
        <w:rPr>
          <w:b/>
          <w:u w:val="none"/>
          <w:lang w:val="nl-NL"/>
        </w:rPr>
        <w:t xml:space="preserve">het </w:t>
      </w:r>
      <w:r w:rsidRPr="00017F88">
        <w:rPr>
          <w:b/>
          <w:u w:val="none"/>
          <w:lang w:val="nl-NL"/>
        </w:rPr>
        <w:t>preklinisch veiligheidsonderzoek</w:t>
      </w:r>
    </w:p>
    <w:p w14:paraId="09BF9F74" w14:textId="77777777" w:rsidR="004F2AD8" w:rsidRPr="00996C1F" w:rsidRDefault="004F2AD8">
      <w:pPr>
        <w:pStyle w:val="Heading2"/>
        <w:rPr>
          <w:lang w:val="nl-NL"/>
        </w:rPr>
      </w:pPr>
    </w:p>
    <w:p w14:paraId="1754D88B" w14:textId="77777777" w:rsidR="004F2AD8" w:rsidRDefault="004F2AD8">
      <w:pPr>
        <w:ind w:left="454" w:firstLine="227"/>
        <w:rPr>
          <w:lang w:val="nl-NL"/>
        </w:rPr>
      </w:pPr>
      <w:r w:rsidRPr="00996C1F">
        <w:rPr>
          <w:lang w:val="nl-NL"/>
        </w:rPr>
        <w:t>Gegevens niet beschikbaar.</w:t>
      </w:r>
    </w:p>
    <w:p w14:paraId="2D041733" w14:textId="77777777" w:rsidR="00017F88" w:rsidRPr="00996C1F" w:rsidRDefault="00017F88">
      <w:pPr>
        <w:ind w:left="454" w:firstLine="227"/>
        <w:rPr>
          <w:lang w:val="nl-NL"/>
        </w:rPr>
      </w:pPr>
    </w:p>
    <w:p w14:paraId="10FADD0B" w14:textId="77777777" w:rsidR="004F2AD8" w:rsidRPr="00996C1F" w:rsidRDefault="004F2AD8">
      <w:pPr>
        <w:ind w:left="454" w:firstLine="227"/>
        <w:rPr>
          <w:lang w:val="nl-NL"/>
        </w:rPr>
      </w:pPr>
    </w:p>
    <w:p w14:paraId="02FE967D" w14:textId="77777777" w:rsidR="004F2AD8" w:rsidRPr="00996C1F" w:rsidRDefault="004F2AD8">
      <w:pPr>
        <w:pStyle w:val="Heading2"/>
        <w:rPr>
          <w:lang w:val="nl-NL"/>
        </w:rPr>
      </w:pPr>
      <w:r w:rsidRPr="00996C1F">
        <w:rPr>
          <w:lang w:val="nl-NL"/>
        </w:rPr>
        <w:t>6.</w:t>
      </w:r>
      <w:r w:rsidRPr="00996C1F">
        <w:rPr>
          <w:lang w:val="nl-NL"/>
        </w:rPr>
        <w:tab/>
        <w:t>FARMACEUTISCHE GEGEVENS</w:t>
      </w:r>
    </w:p>
    <w:p w14:paraId="7BDFE251" w14:textId="77777777" w:rsidR="004F2AD8" w:rsidRPr="00996C1F" w:rsidRDefault="004F2AD8">
      <w:pPr>
        <w:rPr>
          <w:lang w:val="nl-NL"/>
        </w:rPr>
      </w:pPr>
    </w:p>
    <w:p w14:paraId="56FA445F" w14:textId="77777777" w:rsidR="004F2AD8" w:rsidRPr="00017F88" w:rsidRDefault="004F2AD8">
      <w:pPr>
        <w:pStyle w:val="Heading3"/>
        <w:rPr>
          <w:b/>
          <w:u w:val="none"/>
          <w:lang w:val="nl-NL"/>
        </w:rPr>
      </w:pPr>
      <w:r w:rsidRPr="00017F88">
        <w:rPr>
          <w:b/>
          <w:u w:val="none"/>
          <w:lang w:val="nl-NL"/>
        </w:rPr>
        <w:t>6.1</w:t>
      </w:r>
      <w:r w:rsidRPr="00017F88">
        <w:rPr>
          <w:b/>
          <w:u w:val="none"/>
          <w:lang w:val="nl-NL"/>
        </w:rPr>
        <w:tab/>
        <w:t>Lijst van hulpstoffen</w:t>
      </w:r>
    </w:p>
    <w:p w14:paraId="5A1DE686" w14:textId="77777777" w:rsidR="004F2AD8" w:rsidRPr="00996C1F" w:rsidRDefault="004F2AD8">
      <w:pPr>
        <w:ind w:left="454" w:firstLine="227"/>
        <w:rPr>
          <w:lang w:val="nl-NL"/>
        </w:rPr>
      </w:pPr>
    </w:p>
    <w:p w14:paraId="48217FBE" w14:textId="77777777" w:rsidR="004F2AD8" w:rsidRPr="003C3129" w:rsidRDefault="004F2AD8">
      <w:pPr>
        <w:ind w:left="681"/>
        <w:rPr>
          <w:lang w:val="nl-NL"/>
        </w:rPr>
      </w:pPr>
      <w:r w:rsidRPr="003C3129">
        <w:rPr>
          <w:lang w:val="nl-NL"/>
        </w:rPr>
        <w:t xml:space="preserve">Natriumcarboxymethylcellulose - natriumchloride </w:t>
      </w:r>
      <w:r w:rsidR="00420A0F" w:rsidRPr="003C3129">
        <w:rPr>
          <w:lang w:val="nl-NL"/>
        </w:rPr>
        <w:t>– natriumhydroxide – zoutzuur -</w:t>
      </w:r>
      <w:r w:rsidRPr="003C3129">
        <w:rPr>
          <w:lang w:val="nl-NL"/>
        </w:rPr>
        <w:t xml:space="preserve"> polysorbaat 80 - benzylalcohol </w:t>
      </w:r>
      <w:r w:rsidR="002A2F79" w:rsidRPr="003C3129">
        <w:rPr>
          <w:lang w:val="nl-NL"/>
        </w:rPr>
        <w:t>(</w:t>
      </w:r>
      <w:r w:rsidR="00DB1942" w:rsidRPr="003C3129">
        <w:rPr>
          <w:lang w:val="nl-NL"/>
        </w:rPr>
        <w:t xml:space="preserve">zie rubriek 2 </w:t>
      </w:r>
      <w:r w:rsidR="00C90019" w:rsidRPr="003C3129">
        <w:rPr>
          <w:lang w:val="nl-NL"/>
        </w:rPr>
        <w:t>Hulpstoffen</w:t>
      </w:r>
      <w:r w:rsidR="00DB1942" w:rsidRPr="003C3129">
        <w:rPr>
          <w:lang w:val="nl-NL"/>
        </w:rPr>
        <w:t xml:space="preserve"> en rubriek 4.3 Contra-indicaties</w:t>
      </w:r>
      <w:r w:rsidR="002A2F79" w:rsidRPr="003C3129">
        <w:rPr>
          <w:lang w:val="nl-NL"/>
        </w:rPr>
        <w:t xml:space="preserve">) </w:t>
      </w:r>
      <w:r w:rsidRPr="003C3129">
        <w:rPr>
          <w:lang w:val="nl-NL"/>
        </w:rPr>
        <w:t>- water voor injectie q.s. ad 1 ml.</w:t>
      </w:r>
    </w:p>
    <w:p w14:paraId="482E666D" w14:textId="77777777" w:rsidR="004F2AD8" w:rsidRPr="003C3129" w:rsidRDefault="004F2AD8">
      <w:pPr>
        <w:pStyle w:val="Header"/>
        <w:tabs>
          <w:tab w:val="clear" w:pos="9072"/>
        </w:tabs>
        <w:rPr>
          <w:lang w:val="nl-NL"/>
        </w:rPr>
      </w:pPr>
    </w:p>
    <w:p w14:paraId="371C4B99" w14:textId="77777777" w:rsidR="004F2AD8" w:rsidRPr="003C3129" w:rsidRDefault="004F2AD8">
      <w:pPr>
        <w:pStyle w:val="Heading3"/>
        <w:rPr>
          <w:b/>
          <w:u w:val="none"/>
          <w:lang w:val="nl-NL"/>
        </w:rPr>
      </w:pPr>
      <w:r w:rsidRPr="003C3129">
        <w:rPr>
          <w:b/>
          <w:u w:val="none"/>
          <w:lang w:val="nl-NL"/>
        </w:rPr>
        <w:t>6.2</w:t>
      </w:r>
      <w:r w:rsidRPr="003C3129">
        <w:rPr>
          <w:b/>
          <w:u w:val="none"/>
          <w:lang w:val="nl-NL"/>
        </w:rPr>
        <w:tab/>
        <w:t>Gevallen van onverenigbaarheid</w:t>
      </w:r>
    </w:p>
    <w:p w14:paraId="538D0AEA" w14:textId="77777777" w:rsidR="004F2AD8" w:rsidRPr="003C3129" w:rsidRDefault="004F2AD8">
      <w:pPr>
        <w:ind w:left="681"/>
        <w:rPr>
          <w:lang w:val="nl-NL"/>
        </w:rPr>
      </w:pPr>
    </w:p>
    <w:p w14:paraId="64E8A725" w14:textId="77777777" w:rsidR="004F2AD8" w:rsidRPr="00996C1F" w:rsidRDefault="004F2AD8">
      <w:pPr>
        <w:tabs>
          <w:tab w:val="left" w:pos="-1440"/>
        </w:tabs>
        <w:ind w:left="681"/>
        <w:rPr>
          <w:lang w:val="nl-NL"/>
        </w:rPr>
      </w:pPr>
      <w:r w:rsidRPr="003C3129">
        <w:rPr>
          <w:lang w:val="nl-NL"/>
        </w:rPr>
        <w:t>De steriele suspensie op basis van triamcinolonacetonide mag niet worden gemengd met parenterale bereidingen van lokale anaesthetica die bewaarmiddelen</w:t>
      </w:r>
      <w:r w:rsidRPr="00996C1F">
        <w:rPr>
          <w:lang w:val="nl-NL"/>
        </w:rPr>
        <w:t xml:space="preserve"> zoals paraben of fenol bevatten, welke de corticosteroïden kan doen uitvlokken.</w:t>
      </w:r>
    </w:p>
    <w:p w14:paraId="4C61251C" w14:textId="77777777" w:rsidR="004F2AD8" w:rsidRPr="00996C1F" w:rsidRDefault="004F2AD8">
      <w:pPr>
        <w:ind w:left="681"/>
        <w:rPr>
          <w:lang w:val="nl-NL"/>
        </w:rPr>
      </w:pPr>
    </w:p>
    <w:p w14:paraId="45D987E0" w14:textId="77777777" w:rsidR="004F2AD8" w:rsidRPr="00017F88" w:rsidRDefault="004F2AD8">
      <w:pPr>
        <w:pStyle w:val="Heading3"/>
        <w:rPr>
          <w:b/>
          <w:u w:val="none"/>
          <w:lang w:val="nl-NL"/>
        </w:rPr>
      </w:pPr>
      <w:r w:rsidRPr="00017F88">
        <w:rPr>
          <w:b/>
          <w:u w:val="none"/>
          <w:lang w:val="nl-NL"/>
        </w:rPr>
        <w:t>6.3</w:t>
      </w:r>
      <w:r w:rsidRPr="00017F88">
        <w:rPr>
          <w:b/>
          <w:u w:val="none"/>
          <w:lang w:val="nl-NL"/>
        </w:rPr>
        <w:tab/>
        <w:t>Houdbaarheid</w:t>
      </w:r>
    </w:p>
    <w:p w14:paraId="453E7B02" w14:textId="77777777" w:rsidR="004F2AD8" w:rsidRPr="00996C1F" w:rsidRDefault="004F2AD8">
      <w:pPr>
        <w:ind w:left="681"/>
        <w:rPr>
          <w:lang w:val="nl-NL"/>
        </w:rPr>
      </w:pPr>
    </w:p>
    <w:p w14:paraId="0901E561" w14:textId="77777777" w:rsidR="004F2AD8" w:rsidRPr="00996C1F" w:rsidRDefault="004F2AD8">
      <w:pPr>
        <w:ind w:left="681"/>
        <w:rPr>
          <w:lang w:val="nl-NL"/>
        </w:rPr>
      </w:pPr>
      <w:r w:rsidRPr="00996C1F">
        <w:rPr>
          <w:lang w:val="nl-NL"/>
        </w:rPr>
        <w:t>3 jaar.</w:t>
      </w:r>
    </w:p>
    <w:p w14:paraId="28C97210" w14:textId="77777777" w:rsidR="004F2AD8" w:rsidRPr="00996C1F" w:rsidRDefault="004F2AD8">
      <w:pPr>
        <w:ind w:left="681"/>
        <w:rPr>
          <w:lang w:val="nl-NL"/>
        </w:rPr>
      </w:pPr>
    </w:p>
    <w:p w14:paraId="53298FA7" w14:textId="77777777" w:rsidR="004F2AD8" w:rsidRPr="00017F88" w:rsidRDefault="004F2AD8">
      <w:pPr>
        <w:pStyle w:val="Heading3"/>
        <w:rPr>
          <w:b/>
          <w:u w:val="none"/>
          <w:lang w:val="nl-NL"/>
        </w:rPr>
      </w:pPr>
      <w:r w:rsidRPr="00017F88">
        <w:rPr>
          <w:b/>
          <w:u w:val="none"/>
          <w:lang w:val="nl-NL"/>
        </w:rPr>
        <w:t>6.4</w:t>
      </w:r>
      <w:r w:rsidRPr="00017F88">
        <w:rPr>
          <w:b/>
          <w:u w:val="none"/>
          <w:lang w:val="nl-NL"/>
        </w:rPr>
        <w:tab/>
        <w:t>Speciale voorzorgsmaatregelen bij bewaren</w:t>
      </w:r>
    </w:p>
    <w:p w14:paraId="7C78CA36" w14:textId="77777777" w:rsidR="004F2AD8" w:rsidRPr="00996C1F" w:rsidRDefault="004F2AD8">
      <w:pPr>
        <w:ind w:left="681"/>
        <w:rPr>
          <w:lang w:val="nl-NL"/>
        </w:rPr>
      </w:pPr>
    </w:p>
    <w:p w14:paraId="40F283EF" w14:textId="77777777" w:rsidR="004F2AD8" w:rsidRDefault="0058205B">
      <w:pPr>
        <w:ind w:left="681"/>
        <w:rPr>
          <w:lang w:val="nl-NL"/>
        </w:rPr>
      </w:pPr>
      <w:r>
        <w:rPr>
          <w:lang w:val="nl-NL"/>
        </w:rPr>
        <w:t xml:space="preserve">Bewaren beneden 30°C in de oorspronkelijke </w:t>
      </w:r>
      <w:r w:rsidR="003E2A10">
        <w:rPr>
          <w:lang w:val="nl-NL"/>
        </w:rPr>
        <w:t>buiten</w:t>
      </w:r>
      <w:r>
        <w:rPr>
          <w:lang w:val="nl-NL"/>
        </w:rPr>
        <w:t xml:space="preserve">verpakking.  </w:t>
      </w:r>
    </w:p>
    <w:p w14:paraId="32BC4DA7" w14:textId="77777777" w:rsidR="0058205B" w:rsidRPr="00996C1F" w:rsidRDefault="0058205B">
      <w:pPr>
        <w:ind w:left="681"/>
        <w:rPr>
          <w:lang w:val="nl-NL"/>
        </w:rPr>
      </w:pPr>
      <w:r>
        <w:rPr>
          <w:lang w:val="nl-NL"/>
        </w:rPr>
        <w:t xml:space="preserve">Niet </w:t>
      </w:r>
      <w:r w:rsidR="00C92A84">
        <w:rPr>
          <w:lang w:val="nl-NL"/>
        </w:rPr>
        <w:t>in de vriezer bewaren.</w:t>
      </w:r>
    </w:p>
    <w:p w14:paraId="7CFBD3BC" w14:textId="77777777" w:rsidR="004F2AD8" w:rsidRPr="00996C1F" w:rsidRDefault="004F2AD8">
      <w:pPr>
        <w:ind w:left="681"/>
        <w:rPr>
          <w:lang w:val="nl-NL"/>
        </w:rPr>
      </w:pPr>
    </w:p>
    <w:p w14:paraId="63F6CBDB" w14:textId="77777777" w:rsidR="004F2AD8" w:rsidRPr="00017F88" w:rsidRDefault="004F2AD8">
      <w:pPr>
        <w:pStyle w:val="Heading3"/>
        <w:rPr>
          <w:b/>
          <w:u w:val="none"/>
          <w:lang w:val="nl-NL"/>
        </w:rPr>
      </w:pPr>
      <w:r w:rsidRPr="00017F88">
        <w:rPr>
          <w:b/>
          <w:u w:val="none"/>
          <w:lang w:val="nl-NL"/>
        </w:rPr>
        <w:t>6.5</w:t>
      </w:r>
      <w:r w:rsidRPr="00017F88">
        <w:rPr>
          <w:b/>
          <w:u w:val="none"/>
          <w:lang w:val="nl-NL"/>
        </w:rPr>
        <w:tab/>
        <w:t xml:space="preserve">Aard en inhoud van de verpakking  </w:t>
      </w:r>
    </w:p>
    <w:p w14:paraId="0DF77471" w14:textId="77777777" w:rsidR="004F2AD8" w:rsidRPr="00996C1F" w:rsidRDefault="004F2AD8">
      <w:pPr>
        <w:ind w:left="681"/>
        <w:rPr>
          <w:lang w:val="nl-NL"/>
        </w:rPr>
      </w:pPr>
    </w:p>
    <w:p w14:paraId="693ACB65" w14:textId="77777777" w:rsidR="004F2AD8" w:rsidRPr="002D09AC" w:rsidRDefault="002D09AC">
      <w:pPr>
        <w:ind w:left="681"/>
        <w:rPr>
          <w:lang w:val="nl-NL"/>
        </w:rPr>
      </w:pPr>
      <w:r>
        <w:rPr>
          <w:lang w:val="nl-NL"/>
        </w:rPr>
        <w:t>Kenacort-A 10 m</w:t>
      </w:r>
      <w:r w:rsidR="00F9571B">
        <w:rPr>
          <w:lang w:val="nl-NL"/>
        </w:rPr>
        <w:t>g</w:t>
      </w:r>
      <w:r>
        <w:rPr>
          <w:lang w:val="nl-NL"/>
        </w:rPr>
        <w:t xml:space="preserve">/ml is verpakt in </w:t>
      </w:r>
      <w:r w:rsidRPr="002D09AC">
        <w:rPr>
          <w:lang w:val="nl-NL"/>
        </w:rPr>
        <w:t xml:space="preserve">een 5 ml </w:t>
      </w:r>
      <w:r w:rsidR="00A500B0">
        <w:rPr>
          <w:lang w:val="nl-NL"/>
        </w:rPr>
        <w:t xml:space="preserve">type I </w:t>
      </w:r>
      <w:r w:rsidR="007B1348">
        <w:rPr>
          <w:lang w:val="nl-NL"/>
        </w:rPr>
        <w:t xml:space="preserve">kleurloze </w:t>
      </w:r>
      <w:r w:rsidRPr="002D09AC">
        <w:rPr>
          <w:lang w:val="nl-NL"/>
        </w:rPr>
        <w:t>glazen fl</w:t>
      </w:r>
      <w:r w:rsidR="00BA4C70">
        <w:rPr>
          <w:lang w:val="nl-NL"/>
        </w:rPr>
        <w:t>esje</w:t>
      </w:r>
      <w:r w:rsidR="00A500B0">
        <w:rPr>
          <w:lang w:val="nl-NL"/>
        </w:rPr>
        <w:t xml:space="preserve"> </w:t>
      </w:r>
      <w:r w:rsidRPr="002D09AC">
        <w:rPr>
          <w:lang w:val="nl-NL"/>
        </w:rPr>
        <w:t xml:space="preserve">met een chloorbutyl rubberen stop en een </w:t>
      </w:r>
      <w:r w:rsidR="007B1348">
        <w:rPr>
          <w:lang w:val="nl-NL"/>
        </w:rPr>
        <w:t xml:space="preserve">groene </w:t>
      </w:r>
      <w:r w:rsidRPr="002D09AC">
        <w:rPr>
          <w:lang w:val="nl-NL"/>
        </w:rPr>
        <w:t xml:space="preserve">aluminium flip-off verzegeling. </w:t>
      </w:r>
    </w:p>
    <w:p w14:paraId="0F99D250" w14:textId="77777777" w:rsidR="004F2AD8" w:rsidRPr="00996C1F" w:rsidRDefault="004F2AD8">
      <w:pPr>
        <w:rPr>
          <w:sz w:val="26"/>
          <w:lang w:val="nl-NL"/>
        </w:rPr>
      </w:pPr>
    </w:p>
    <w:p w14:paraId="1B25FAC4" w14:textId="77777777" w:rsidR="004F2AD8" w:rsidRPr="00017F88" w:rsidRDefault="004F2AD8">
      <w:pPr>
        <w:pStyle w:val="Heading3"/>
        <w:rPr>
          <w:b/>
          <w:u w:val="none"/>
          <w:lang w:val="nl-NL"/>
        </w:rPr>
      </w:pPr>
      <w:r w:rsidRPr="00017F88">
        <w:rPr>
          <w:b/>
          <w:u w:val="none"/>
          <w:lang w:val="nl-NL"/>
        </w:rPr>
        <w:t>6.6</w:t>
      </w:r>
      <w:r w:rsidRPr="00017F88">
        <w:rPr>
          <w:b/>
          <w:u w:val="none"/>
          <w:lang w:val="nl-NL"/>
        </w:rPr>
        <w:tab/>
      </w:r>
      <w:r w:rsidR="00F336EC" w:rsidRPr="00017F88">
        <w:rPr>
          <w:b/>
          <w:u w:val="none"/>
          <w:lang w:val="nl-NL"/>
        </w:rPr>
        <w:t>Speciale voorzorgsmaatregelen voor het verwijderen en andere instructies</w:t>
      </w:r>
    </w:p>
    <w:p w14:paraId="1B11F16B" w14:textId="77777777" w:rsidR="004F2AD8" w:rsidRPr="00996C1F" w:rsidRDefault="004F2AD8">
      <w:pPr>
        <w:ind w:left="681"/>
        <w:rPr>
          <w:lang w:val="nl-NL"/>
        </w:rPr>
      </w:pPr>
    </w:p>
    <w:p w14:paraId="0B49E0E8" w14:textId="77777777" w:rsidR="0058205B" w:rsidRDefault="0058205B">
      <w:pPr>
        <w:rPr>
          <w:lang w:val="nl-NL"/>
        </w:rPr>
      </w:pPr>
      <w:r>
        <w:rPr>
          <w:rFonts w:ascii="Univers" w:hAnsi="Univers"/>
          <w:lang w:val="nl-NL"/>
        </w:rPr>
        <w:tab/>
      </w:r>
      <w:r>
        <w:rPr>
          <w:rFonts w:ascii="Univers" w:hAnsi="Univers"/>
          <w:lang w:val="nl-NL"/>
        </w:rPr>
        <w:tab/>
      </w:r>
      <w:r w:rsidRPr="0058205B">
        <w:rPr>
          <w:lang w:val="nl-NL"/>
        </w:rPr>
        <w:tab/>
        <w:t>Eenmalig gebruik.</w:t>
      </w:r>
      <w:r>
        <w:rPr>
          <w:lang w:val="nl-NL"/>
        </w:rPr>
        <w:t xml:space="preserve">   </w:t>
      </w:r>
    </w:p>
    <w:p w14:paraId="2C45E578" w14:textId="079E0E62" w:rsidR="004F2AD8" w:rsidRPr="0058205B" w:rsidRDefault="0058205B" w:rsidP="0058205B">
      <w:pPr>
        <w:ind w:left="681"/>
        <w:rPr>
          <w:lang w:val="nl-NL"/>
        </w:rPr>
      </w:pPr>
      <w:r w:rsidRPr="0058205B">
        <w:rPr>
          <w:lang w:val="nl-NL"/>
        </w:rPr>
        <w:lastRenderedPageBreak/>
        <w:t xml:space="preserve">Al het ongebruikte geneesmiddel of afvalmateriaal dient </w:t>
      </w:r>
      <w:r w:rsidR="00FA0AD5">
        <w:rPr>
          <w:lang w:val="nl-NL"/>
        </w:rPr>
        <w:t>in overeenstemmingmet</w:t>
      </w:r>
      <w:r w:rsidRPr="0058205B">
        <w:rPr>
          <w:lang w:val="nl-NL"/>
        </w:rPr>
        <w:t xml:space="preserve"> lokale voorschriften</w:t>
      </w:r>
      <w:r w:rsidR="00FA0AD5">
        <w:rPr>
          <w:lang w:val="nl-NL"/>
        </w:rPr>
        <w:t xml:space="preserve"> te worden vernietigd</w:t>
      </w:r>
      <w:r>
        <w:rPr>
          <w:lang w:val="nl-NL"/>
        </w:rPr>
        <w:t>.</w:t>
      </w:r>
    </w:p>
    <w:p w14:paraId="1081077C" w14:textId="77777777" w:rsidR="0058205B" w:rsidRDefault="0058205B" w:rsidP="0058205B">
      <w:pPr>
        <w:ind w:left="454" w:firstLine="227"/>
        <w:rPr>
          <w:lang w:val="nl-NL"/>
        </w:rPr>
      </w:pPr>
      <w:r>
        <w:rPr>
          <w:lang w:val="nl-NL"/>
        </w:rPr>
        <w:t>Geen bijzondere vereisten voor verwijdering.</w:t>
      </w:r>
    </w:p>
    <w:p w14:paraId="4108E030" w14:textId="77777777" w:rsidR="0058205B" w:rsidRPr="0058205B" w:rsidRDefault="0058205B">
      <w:pPr>
        <w:rPr>
          <w:lang w:val="nl-NL"/>
        </w:rPr>
      </w:pPr>
    </w:p>
    <w:p w14:paraId="0C8D5780" w14:textId="77777777" w:rsidR="004F2AD8" w:rsidRPr="0058205B" w:rsidRDefault="004F2AD8">
      <w:pPr>
        <w:rPr>
          <w:lang w:val="nl-NL"/>
        </w:rPr>
      </w:pPr>
    </w:p>
    <w:p w14:paraId="2562769C" w14:textId="77777777" w:rsidR="004F2AD8" w:rsidRPr="00996C1F" w:rsidRDefault="004F2AD8" w:rsidP="00D64C22">
      <w:pPr>
        <w:pStyle w:val="Heading2"/>
        <w:rPr>
          <w:lang w:val="nl-NL"/>
        </w:rPr>
      </w:pPr>
      <w:r w:rsidRPr="00996C1F">
        <w:rPr>
          <w:lang w:val="nl-NL"/>
        </w:rPr>
        <w:t>7.</w:t>
      </w:r>
      <w:r w:rsidRPr="00996C1F">
        <w:rPr>
          <w:lang w:val="nl-NL"/>
        </w:rPr>
        <w:tab/>
      </w:r>
      <w:r w:rsidR="00017F88" w:rsidRPr="00017F88">
        <w:rPr>
          <w:lang w:val="nl-NL"/>
        </w:rPr>
        <w:t xml:space="preserve"> </w:t>
      </w:r>
      <w:r w:rsidR="00017F88" w:rsidRPr="007F3B50">
        <w:rPr>
          <w:lang w:val="nl-NL"/>
        </w:rPr>
        <w:t>H</w:t>
      </w:r>
      <w:r w:rsidR="00D64C22">
        <w:rPr>
          <w:lang w:val="nl-NL"/>
        </w:rPr>
        <w:t>OUDER</w:t>
      </w:r>
      <w:r w:rsidR="00017F88" w:rsidRPr="007F3B50">
        <w:rPr>
          <w:lang w:val="nl-NL"/>
        </w:rPr>
        <w:t xml:space="preserve"> VAN DE VERGUNNING VOOR HET IN DE HANDEL BRENGEN</w:t>
      </w:r>
    </w:p>
    <w:p w14:paraId="4D6CFF7C" w14:textId="77777777" w:rsidR="004F2AD8" w:rsidRPr="00996C1F" w:rsidRDefault="004F2AD8">
      <w:pPr>
        <w:ind w:left="227"/>
        <w:rPr>
          <w:lang w:val="nl-NL"/>
        </w:rPr>
      </w:pPr>
    </w:p>
    <w:p w14:paraId="69921674" w14:textId="77777777" w:rsidR="004F2AD8" w:rsidRPr="002957EB" w:rsidRDefault="004F2AD8">
      <w:pPr>
        <w:ind w:left="227"/>
        <w:rPr>
          <w:lang w:val="en-US"/>
        </w:rPr>
      </w:pPr>
      <w:r w:rsidRPr="002957EB">
        <w:rPr>
          <w:lang w:val="en-US"/>
        </w:rPr>
        <w:t xml:space="preserve">Bristol-Myers Squibb Belgium </w:t>
      </w:r>
      <w:r w:rsidR="007235AB" w:rsidRPr="002957EB">
        <w:rPr>
          <w:lang w:val="en-US"/>
        </w:rPr>
        <w:t>N.V.</w:t>
      </w:r>
    </w:p>
    <w:p w14:paraId="24745B40" w14:textId="77777777" w:rsidR="004F2AD8" w:rsidRPr="00996C1F" w:rsidRDefault="004F2AD8">
      <w:pPr>
        <w:ind w:left="227"/>
        <w:rPr>
          <w:lang w:val="nl-NL"/>
        </w:rPr>
      </w:pPr>
      <w:r w:rsidRPr="00996C1F">
        <w:rPr>
          <w:lang w:val="nl-NL"/>
        </w:rPr>
        <w:t>Terhulpsesteenweg, 185</w:t>
      </w:r>
    </w:p>
    <w:p w14:paraId="1EDD6A70" w14:textId="77777777" w:rsidR="004F2AD8" w:rsidRPr="00996C1F" w:rsidRDefault="004F2AD8">
      <w:pPr>
        <w:ind w:left="227"/>
        <w:rPr>
          <w:lang w:val="nl-NL"/>
        </w:rPr>
      </w:pPr>
      <w:r w:rsidRPr="00996C1F">
        <w:rPr>
          <w:lang w:val="nl-NL"/>
        </w:rPr>
        <w:t>1170 BRUSSEL</w:t>
      </w:r>
    </w:p>
    <w:p w14:paraId="2F490967" w14:textId="77777777" w:rsidR="004F2AD8" w:rsidRPr="00996C1F" w:rsidRDefault="004F2AD8">
      <w:pPr>
        <w:pStyle w:val="Heading2"/>
        <w:rPr>
          <w:lang w:val="nl-NL"/>
        </w:rPr>
      </w:pPr>
    </w:p>
    <w:p w14:paraId="1FFA8F88" w14:textId="77777777" w:rsidR="004F2AD8" w:rsidRPr="00996C1F" w:rsidRDefault="004F2AD8">
      <w:pPr>
        <w:pStyle w:val="Heading2"/>
        <w:rPr>
          <w:lang w:val="nl-NL"/>
        </w:rPr>
      </w:pPr>
      <w:r w:rsidRPr="00996C1F">
        <w:rPr>
          <w:lang w:val="nl-NL"/>
        </w:rPr>
        <w:t>8.</w:t>
      </w:r>
      <w:r w:rsidR="00017F88" w:rsidRPr="00017F88">
        <w:rPr>
          <w:lang w:val="nl-NL"/>
        </w:rPr>
        <w:t xml:space="preserve"> </w:t>
      </w:r>
      <w:r w:rsidR="00017F88" w:rsidRPr="007F3B50">
        <w:rPr>
          <w:lang w:val="nl-NL"/>
        </w:rPr>
        <w:t>NUMMER VAN DE VERGUNNING VOOR HET IN DE HANDEL BRENGEN</w:t>
      </w:r>
    </w:p>
    <w:p w14:paraId="6A612973" w14:textId="77777777" w:rsidR="004F2AD8" w:rsidRPr="00996C1F" w:rsidRDefault="004F2AD8">
      <w:pPr>
        <w:ind w:left="227" w:hanging="227"/>
        <w:rPr>
          <w:lang w:val="nl-NL"/>
        </w:rPr>
      </w:pPr>
    </w:p>
    <w:p w14:paraId="2C8000D6" w14:textId="77777777" w:rsidR="004F2AD8" w:rsidRPr="00E7400B" w:rsidRDefault="004F2AD8">
      <w:pPr>
        <w:ind w:left="227"/>
        <w:rPr>
          <w:lang w:val="en-US"/>
        </w:rPr>
      </w:pPr>
      <w:r w:rsidRPr="00E7400B">
        <w:rPr>
          <w:lang w:val="en-US"/>
        </w:rPr>
        <w:t xml:space="preserve">Kenacort-A 10 mg/ml: </w:t>
      </w:r>
      <w:r w:rsidR="00FD6566" w:rsidRPr="00E7400B">
        <w:rPr>
          <w:lang w:val="en-US"/>
        </w:rPr>
        <w:t>BE 049156</w:t>
      </w:r>
    </w:p>
    <w:p w14:paraId="45ACE656" w14:textId="77777777" w:rsidR="004F2AD8" w:rsidRPr="00E7400B" w:rsidRDefault="004F2AD8" w:rsidP="001355FC">
      <w:pPr>
        <w:tabs>
          <w:tab w:val="left" w:pos="737"/>
        </w:tabs>
        <w:rPr>
          <w:lang w:val="en-US"/>
        </w:rPr>
      </w:pPr>
    </w:p>
    <w:p w14:paraId="150D4DDB" w14:textId="77777777" w:rsidR="004F2AD8" w:rsidRPr="00E7400B" w:rsidRDefault="004F2AD8">
      <w:pPr>
        <w:rPr>
          <w:lang w:val="en-US"/>
        </w:rPr>
      </w:pPr>
    </w:p>
    <w:p w14:paraId="3A709184" w14:textId="77777777" w:rsidR="004F2AD8" w:rsidRPr="00996C1F" w:rsidRDefault="001355FC">
      <w:pPr>
        <w:pStyle w:val="Heading2"/>
        <w:ind w:left="0" w:firstLine="0"/>
        <w:rPr>
          <w:lang w:val="nl-NL"/>
        </w:rPr>
      </w:pPr>
      <w:r w:rsidRPr="00996C1F">
        <w:rPr>
          <w:lang w:val="nl-NL"/>
        </w:rPr>
        <w:t>9</w:t>
      </w:r>
      <w:r w:rsidR="004F2AD8" w:rsidRPr="00996C1F">
        <w:rPr>
          <w:lang w:val="nl-NL"/>
        </w:rPr>
        <w:t xml:space="preserve">. DATUM VAN EERSTE </w:t>
      </w:r>
      <w:r w:rsidR="00017F88">
        <w:rPr>
          <w:lang w:val="nl-NL"/>
        </w:rPr>
        <w:t xml:space="preserve">VERLENING VAN DE </w:t>
      </w:r>
      <w:r w:rsidR="004F2AD8" w:rsidRPr="00996C1F">
        <w:rPr>
          <w:lang w:val="nl-NL"/>
        </w:rPr>
        <w:t>VERGUNNING/</w:t>
      </w:r>
      <w:r w:rsidR="00C92A84">
        <w:rPr>
          <w:lang w:val="nl-NL"/>
        </w:rPr>
        <w:t>VERLENGING</w:t>
      </w:r>
      <w:r w:rsidR="004F2AD8" w:rsidRPr="00996C1F">
        <w:rPr>
          <w:lang w:val="nl-NL"/>
        </w:rPr>
        <w:t xml:space="preserve"> VAN DE VERGUNNING</w:t>
      </w:r>
    </w:p>
    <w:p w14:paraId="0B8B4F52" w14:textId="77777777" w:rsidR="004F2AD8" w:rsidRPr="00996C1F" w:rsidRDefault="004F2AD8">
      <w:pPr>
        <w:rPr>
          <w:lang w:val="nl-NL"/>
        </w:rPr>
      </w:pPr>
    </w:p>
    <w:p w14:paraId="7A6EB282" w14:textId="559A7960" w:rsidR="004F2AD8" w:rsidRPr="00996C1F" w:rsidRDefault="00AA5893">
      <w:pPr>
        <w:numPr>
          <w:ilvl w:val="0"/>
          <w:numId w:val="1"/>
        </w:numPr>
        <w:rPr>
          <w:lang w:val="nl-NL"/>
        </w:rPr>
      </w:pPr>
      <w:r w:rsidRPr="00BE50C7">
        <w:rPr>
          <w:noProof/>
          <w:lang w:val="nl-BE"/>
        </w:rPr>
        <w:t>Datum van eerste verlening van de vergunning:</w:t>
      </w:r>
      <w:r w:rsidR="004F2AD8" w:rsidRPr="00996C1F">
        <w:rPr>
          <w:lang w:val="nl-NL"/>
        </w:rPr>
        <w:t>: 01.06.1962</w:t>
      </w:r>
    </w:p>
    <w:p w14:paraId="03C32E80" w14:textId="222F456C" w:rsidR="004F2AD8" w:rsidRPr="00996C1F" w:rsidRDefault="00BE50C7">
      <w:pPr>
        <w:numPr>
          <w:ilvl w:val="0"/>
          <w:numId w:val="1"/>
        </w:numPr>
        <w:rPr>
          <w:lang w:val="nl-NL"/>
        </w:rPr>
      </w:pPr>
      <w:r>
        <w:rPr>
          <w:noProof/>
        </w:rPr>
        <w:t xml:space="preserve">Datum van laatste </w:t>
      </w:r>
      <w:proofErr w:type="gramStart"/>
      <w:r>
        <w:rPr>
          <w:noProof/>
        </w:rPr>
        <w:t>verlenging</w:t>
      </w:r>
      <w:r w:rsidR="004F2AD8" w:rsidRPr="00996C1F">
        <w:rPr>
          <w:lang w:val="nl-NL"/>
        </w:rPr>
        <w:t>:</w:t>
      </w:r>
      <w:proofErr w:type="gramEnd"/>
      <w:r w:rsidR="004F2AD8" w:rsidRPr="00996C1F">
        <w:rPr>
          <w:lang w:val="nl-NL"/>
        </w:rPr>
        <w:t xml:space="preserve"> </w:t>
      </w:r>
      <w:r w:rsidR="00BB652A" w:rsidRPr="00996C1F">
        <w:rPr>
          <w:lang w:val="nl-NL"/>
        </w:rPr>
        <w:t>18.07</w:t>
      </w:r>
      <w:r w:rsidR="004F2AD8" w:rsidRPr="00996C1F">
        <w:rPr>
          <w:lang w:val="nl-NL"/>
        </w:rPr>
        <w:t xml:space="preserve">.2004 </w:t>
      </w:r>
    </w:p>
    <w:p w14:paraId="71DB8EFB" w14:textId="77777777" w:rsidR="004F2AD8" w:rsidRPr="00996C1F" w:rsidRDefault="004F2AD8">
      <w:pPr>
        <w:pStyle w:val="Heading2"/>
        <w:ind w:left="0" w:firstLine="0"/>
        <w:rPr>
          <w:caps/>
          <w:lang w:val="nl-NL"/>
        </w:rPr>
      </w:pPr>
    </w:p>
    <w:p w14:paraId="0F093304" w14:textId="77777777" w:rsidR="00017F88" w:rsidRPr="007F3B50" w:rsidRDefault="00017F88" w:rsidP="00017F88">
      <w:pPr>
        <w:pStyle w:val="Heading2"/>
        <w:ind w:left="0" w:firstLine="0"/>
        <w:rPr>
          <w:lang w:val="nl-NL"/>
        </w:rPr>
      </w:pPr>
    </w:p>
    <w:p w14:paraId="6EF6CF6E" w14:textId="77777777" w:rsidR="00017F88" w:rsidRDefault="00017F88" w:rsidP="00017F88">
      <w:pPr>
        <w:pStyle w:val="Heading2"/>
        <w:ind w:left="0" w:firstLine="0"/>
        <w:rPr>
          <w:noProof/>
          <w:lang w:val="nl-NL"/>
        </w:rPr>
      </w:pPr>
      <w:r w:rsidRPr="007F3B50">
        <w:rPr>
          <w:lang w:val="nl-NL"/>
        </w:rPr>
        <w:t xml:space="preserve">10.     </w:t>
      </w:r>
      <w:r w:rsidRPr="007F3B50">
        <w:rPr>
          <w:noProof/>
          <w:lang w:val="nl-NL"/>
        </w:rPr>
        <w:t>DATUM VAN HERZIENING VAN DE TEKST</w:t>
      </w:r>
    </w:p>
    <w:p w14:paraId="0D80AAE5" w14:textId="77777777" w:rsidR="004F2AD8" w:rsidRPr="00996C1F" w:rsidRDefault="004F2AD8">
      <w:pPr>
        <w:pStyle w:val="Heading2"/>
        <w:ind w:left="0" w:firstLine="0"/>
        <w:rPr>
          <w:lang w:val="nl-NL"/>
        </w:rPr>
      </w:pPr>
    </w:p>
    <w:p w14:paraId="1C28D774" w14:textId="21D8F46F" w:rsidR="00017F88" w:rsidRDefault="000852AA" w:rsidP="00017F88">
      <w:pPr>
        <w:rPr>
          <w:lang w:val="nl-NL"/>
        </w:rPr>
      </w:pPr>
      <w:r>
        <w:rPr>
          <w:lang w:val="nl-NL"/>
        </w:rPr>
        <w:t>10</w:t>
      </w:r>
      <w:r w:rsidR="00C92A84">
        <w:rPr>
          <w:lang w:val="nl-NL"/>
        </w:rPr>
        <w:t>/</w:t>
      </w:r>
      <w:r w:rsidR="007F0CFA">
        <w:rPr>
          <w:lang w:val="nl-NL"/>
        </w:rPr>
        <w:t>2021</w:t>
      </w:r>
    </w:p>
    <w:p w14:paraId="65DE42D2" w14:textId="77777777" w:rsidR="00017F88" w:rsidRDefault="00017F88" w:rsidP="00017F88">
      <w:pPr>
        <w:rPr>
          <w:lang w:val="nl-NL"/>
        </w:rPr>
      </w:pPr>
    </w:p>
    <w:p w14:paraId="1AB66FA6" w14:textId="77777777" w:rsidR="004F2AD8" w:rsidRDefault="004F2AD8" w:rsidP="00CE2825">
      <w:pPr>
        <w:rPr>
          <w:lang w:val="nl-NL"/>
        </w:rPr>
      </w:pPr>
    </w:p>
    <w:sectPr w:rsidR="004F2AD8">
      <w:headerReference w:type="default" r:id="rId9"/>
      <w:footerReference w:type="default" r:id="rId10"/>
      <w:pgSz w:w="11900" w:h="16840" w:code="9"/>
      <w:pgMar w:top="1138" w:right="1411" w:bottom="1411" w:left="1411" w:header="706" w:footer="70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F933C" w14:textId="77777777" w:rsidR="000A79F8" w:rsidRDefault="000A79F8">
      <w:r>
        <w:separator/>
      </w:r>
    </w:p>
  </w:endnote>
  <w:endnote w:type="continuationSeparator" w:id="0">
    <w:p w14:paraId="7432B54F" w14:textId="77777777" w:rsidR="000A79F8" w:rsidRDefault="000A79F8">
      <w:r>
        <w:continuationSeparator/>
      </w:r>
    </w:p>
  </w:endnote>
  <w:endnote w:type="continuationNotice" w:id="1">
    <w:p w14:paraId="49F3DFBE" w14:textId="77777777" w:rsidR="000A79F8" w:rsidRDefault="000A7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6005B" w14:textId="77777777" w:rsidR="00CC6DFC" w:rsidRDefault="00CC6DFC">
    <w:pPr>
      <w:pStyle w:val="Footer"/>
      <w:jc w:val="center"/>
      <w:rPr>
        <w:i w:val="0"/>
        <w:sz w:val="24"/>
        <w:lang w:val="en-US"/>
      </w:rPr>
    </w:pPr>
    <w:r>
      <w:rPr>
        <w:i w:val="0"/>
        <w:sz w:val="24"/>
        <w:lang w:val="en-US"/>
      </w:rPr>
      <w:t xml:space="preserve">- </w:t>
    </w:r>
    <w:r>
      <w:rPr>
        <w:i w:val="0"/>
        <w:sz w:val="24"/>
        <w:lang w:val="en-US"/>
      </w:rPr>
      <w:fldChar w:fldCharType="begin"/>
    </w:r>
    <w:r>
      <w:rPr>
        <w:i w:val="0"/>
        <w:sz w:val="24"/>
        <w:lang w:val="en-US"/>
      </w:rPr>
      <w:instrText xml:space="preserve"> PAGE </w:instrText>
    </w:r>
    <w:r>
      <w:rPr>
        <w:i w:val="0"/>
        <w:sz w:val="24"/>
        <w:lang w:val="en-US"/>
      </w:rPr>
      <w:fldChar w:fldCharType="separate"/>
    </w:r>
    <w:r w:rsidR="00E7400B">
      <w:rPr>
        <w:i w:val="0"/>
        <w:noProof/>
        <w:sz w:val="24"/>
        <w:lang w:val="en-US"/>
      </w:rPr>
      <w:t>16</w:t>
    </w:r>
    <w:r>
      <w:rPr>
        <w:i w:val="0"/>
        <w:sz w:val="24"/>
        <w:lang w:val="en-US"/>
      </w:rPr>
      <w:fldChar w:fldCharType="end"/>
    </w:r>
    <w:r>
      <w:rPr>
        <w:i w:val="0"/>
        <w:sz w:val="24"/>
        <w:lang w:val="en-US"/>
      </w:rPr>
      <w:t xml:space="preserve"> -</w:t>
    </w:r>
  </w:p>
  <w:p w14:paraId="3A38818B" w14:textId="77777777" w:rsidR="00CC6DFC" w:rsidRDefault="00CC6DFC">
    <w:pPr>
      <w:pStyle w:val="Footer"/>
      <w:rPr>
        <w:i w:val="0"/>
        <w:sz w:val="16"/>
        <w:lang w:val="en-US"/>
      </w:rPr>
    </w:pPr>
    <w:r>
      <w:rPr>
        <w:i w:val="0"/>
        <w:sz w:val="16"/>
        <w:lang w:val="en-US"/>
      </w:rPr>
      <w:t>Kenacort-A 10-skp.doc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5E67C" w14:textId="77777777" w:rsidR="000A79F8" w:rsidRDefault="000A79F8">
      <w:r>
        <w:separator/>
      </w:r>
    </w:p>
  </w:footnote>
  <w:footnote w:type="continuationSeparator" w:id="0">
    <w:p w14:paraId="0ADE4A6B" w14:textId="77777777" w:rsidR="000A79F8" w:rsidRDefault="000A79F8">
      <w:r>
        <w:continuationSeparator/>
      </w:r>
    </w:p>
  </w:footnote>
  <w:footnote w:type="continuationNotice" w:id="1">
    <w:p w14:paraId="7C34F1DE" w14:textId="77777777" w:rsidR="000A79F8" w:rsidRDefault="000A7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5E25C" w14:textId="77777777" w:rsidR="00CC6DFC" w:rsidRDefault="00CC6DFC">
    <w:pPr>
      <w:pStyle w:val="Header"/>
      <w:rPr>
        <w:sz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460B5"/>
    <w:multiLevelType w:val="multilevel"/>
    <w:tmpl w:val="A7B2DADE"/>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51B1F"/>
    <w:multiLevelType w:val="multilevel"/>
    <w:tmpl w:val="FFFFFFFF"/>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CC1082"/>
    <w:multiLevelType w:val="multilevel"/>
    <w:tmpl w:val="A7B2DADE"/>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0241F9"/>
    <w:multiLevelType w:val="multilevel"/>
    <w:tmpl w:val="FECEF364"/>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F57153"/>
    <w:multiLevelType w:val="hybridMultilevel"/>
    <w:tmpl w:val="267A6E22"/>
    <w:lvl w:ilvl="0" w:tplc="FFFFFFFF">
      <w:start w:val="1"/>
      <w:numFmt w:val="bullet"/>
      <w:lvlText w:val="-"/>
      <w:lvlJc w:val="left"/>
      <w:pPr>
        <w:ind w:left="1041" w:hanging="360"/>
      </w:p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5" w15:restartNumberingAfterBreak="0">
    <w:nsid w:val="107C0B21"/>
    <w:multiLevelType w:val="multilevel"/>
    <w:tmpl w:val="FFFFFFFF"/>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801218"/>
    <w:multiLevelType w:val="hybridMultilevel"/>
    <w:tmpl w:val="9708B41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384A2B"/>
    <w:multiLevelType w:val="multilevel"/>
    <w:tmpl w:val="FFFFFFFF"/>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5E7879"/>
    <w:multiLevelType w:val="multilevel"/>
    <w:tmpl w:val="FFFFFFFF"/>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970576"/>
    <w:multiLevelType w:val="multilevel"/>
    <w:tmpl w:val="FFFFFFFF"/>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F91113"/>
    <w:multiLevelType w:val="multilevel"/>
    <w:tmpl w:val="FFFFFFFF"/>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F56FE5"/>
    <w:multiLevelType w:val="multilevel"/>
    <w:tmpl w:val="FFFFFFFF"/>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052F87"/>
    <w:multiLevelType w:val="multilevel"/>
    <w:tmpl w:val="24681E46"/>
    <w:lvl w:ilvl="0">
      <w:start w:val="1"/>
      <w:numFmt w:val="bullet"/>
      <w:lvlText w:val=""/>
      <w:lvlJc w:val="left"/>
      <w:pPr>
        <w:tabs>
          <w:tab w:val="num" w:pos="814"/>
        </w:tabs>
        <w:ind w:left="814" w:hanging="360"/>
      </w:pPr>
      <w:rPr>
        <w:rFonts w:ascii="Symbol" w:hAnsi="Symbol" w:cs="Times New Roman" w:hint="default"/>
        <w:color w:val="auto"/>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E42DB1"/>
    <w:multiLevelType w:val="multilevel"/>
    <w:tmpl w:val="FFFFFFFF"/>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2318B5"/>
    <w:multiLevelType w:val="multilevel"/>
    <w:tmpl w:val="FFFFFFFF"/>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534B7B"/>
    <w:multiLevelType w:val="hybridMultilevel"/>
    <w:tmpl w:val="FFFFFFFF"/>
    <w:lvl w:ilvl="0" w:tplc="F3C094FE">
      <w:start w:val="1"/>
      <w:numFmt w:val="bullet"/>
      <w:lvlText w:val="-"/>
      <w:lvlJc w:val="left"/>
      <w:pPr>
        <w:ind w:left="720" w:hanging="360"/>
      </w:pPr>
    </w:lvl>
    <w:lvl w:ilvl="1" w:tplc="6178BE68" w:tentative="1">
      <w:start w:val="1"/>
      <w:numFmt w:val="bullet"/>
      <w:lvlText w:val="o"/>
      <w:lvlJc w:val="left"/>
      <w:pPr>
        <w:ind w:left="1440" w:hanging="360"/>
      </w:pPr>
      <w:rPr>
        <w:rFonts w:ascii="Courier New" w:hAnsi="Courier New" w:cs="Courier New" w:hint="default"/>
      </w:rPr>
    </w:lvl>
    <w:lvl w:ilvl="2" w:tplc="3F1EBA8A" w:tentative="1">
      <w:start w:val="1"/>
      <w:numFmt w:val="bullet"/>
      <w:lvlText w:val=""/>
      <w:lvlJc w:val="left"/>
      <w:pPr>
        <w:ind w:left="2160" w:hanging="360"/>
      </w:pPr>
      <w:rPr>
        <w:rFonts w:ascii="Wingdings" w:hAnsi="Wingdings" w:hint="default"/>
      </w:rPr>
    </w:lvl>
    <w:lvl w:ilvl="3" w:tplc="FA203ECA" w:tentative="1">
      <w:start w:val="1"/>
      <w:numFmt w:val="bullet"/>
      <w:lvlText w:val=""/>
      <w:lvlJc w:val="left"/>
      <w:pPr>
        <w:ind w:left="2880" w:hanging="360"/>
      </w:pPr>
      <w:rPr>
        <w:rFonts w:ascii="Symbol" w:hAnsi="Symbol" w:hint="default"/>
      </w:rPr>
    </w:lvl>
    <w:lvl w:ilvl="4" w:tplc="241E0F8A" w:tentative="1">
      <w:start w:val="1"/>
      <w:numFmt w:val="bullet"/>
      <w:lvlText w:val="o"/>
      <w:lvlJc w:val="left"/>
      <w:pPr>
        <w:ind w:left="3600" w:hanging="360"/>
      </w:pPr>
      <w:rPr>
        <w:rFonts w:ascii="Courier New" w:hAnsi="Courier New" w:cs="Courier New" w:hint="default"/>
      </w:rPr>
    </w:lvl>
    <w:lvl w:ilvl="5" w:tplc="8C12143C" w:tentative="1">
      <w:start w:val="1"/>
      <w:numFmt w:val="bullet"/>
      <w:lvlText w:val=""/>
      <w:lvlJc w:val="left"/>
      <w:pPr>
        <w:ind w:left="4320" w:hanging="360"/>
      </w:pPr>
      <w:rPr>
        <w:rFonts w:ascii="Wingdings" w:hAnsi="Wingdings" w:hint="default"/>
      </w:rPr>
    </w:lvl>
    <w:lvl w:ilvl="6" w:tplc="AAFC26EC" w:tentative="1">
      <w:start w:val="1"/>
      <w:numFmt w:val="bullet"/>
      <w:lvlText w:val=""/>
      <w:lvlJc w:val="left"/>
      <w:pPr>
        <w:ind w:left="5040" w:hanging="360"/>
      </w:pPr>
      <w:rPr>
        <w:rFonts w:ascii="Symbol" w:hAnsi="Symbol" w:hint="default"/>
      </w:rPr>
    </w:lvl>
    <w:lvl w:ilvl="7" w:tplc="81C4DC00" w:tentative="1">
      <w:start w:val="1"/>
      <w:numFmt w:val="bullet"/>
      <w:lvlText w:val="o"/>
      <w:lvlJc w:val="left"/>
      <w:pPr>
        <w:ind w:left="5760" w:hanging="360"/>
      </w:pPr>
      <w:rPr>
        <w:rFonts w:ascii="Courier New" w:hAnsi="Courier New" w:cs="Courier New" w:hint="default"/>
      </w:rPr>
    </w:lvl>
    <w:lvl w:ilvl="8" w:tplc="8912083A" w:tentative="1">
      <w:start w:val="1"/>
      <w:numFmt w:val="bullet"/>
      <w:lvlText w:val=""/>
      <w:lvlJc w:val="left"/>
      <w:pPr>
        <w:ind w:left="6480" w:hanging="360"/>
      </w:pPr>
      <w:rPr>
        <w:rFonts w:ascii="Wingdings" w:hAnsi="Wingdings" w:hint="default"/>
      </w:rPr>
    </w:lvl>
  </w:abstractNum>
  <w:abstractNum w:abstractNumId="16" w15:restartNumberingAfterBreak="0">
    <w:nsid w:val="3B741DEA"/>
    <w:multiLevelType w:val="multilevel"/>
    <w:tmpl w:val="FFFFFFFF"/>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053CDF"/>
    <w:multiLevelType w:val="multilevel"/>
    <w:tmpl w:val="0809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FA0218"/>
    <w:multiLevelType w:val="multilevel"/>
    <w:tmpl w:val="FFFFFFFF"/>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99196F"/>
    <w:multiLevelType w:val="multilevel"/>
    <w:tmpl w:val="FFFFFFFF"/>
    <w:lvl w:ilvl="0">
      <w:start w:val="1"/>
      <w:numFmt w:val="bullet"/>
      <w:lvlText w:val="-"/>
      <w:lvlJc w:val="left"/>
      <w:pPr>
        <w:ind w:left="-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206551"/>
    <w:multiLevelType w:val="multilevel"/>
    <w:tmpl w:val="FFFFFFFF"/>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9169A7"/>
    <w:multiLevelType w:val="hybridMultilevel"/>
    <w:tmpl w:val="4DE4966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609B6253"/>
    <w:multiLevelType w:val="multilevel"/>
    <w:tmpl w:val="69BCE248"/>
    <w:lvl w:ilvl="0">
      <w:start w:val="1"/>
      <w:numFmt w:val="bullet"/>
      <w:lvlText w:val="-"/>
      <w:lvlJc w:val="left"/>
      <w:pPr>
        <w:ind w:left="227" w:hanging="360"/>
      </w:p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FF3350"/>
    <w:multiLevelType w:val="multilevel"/>
    <w:tmpl w:val="FFFFFFFF"/>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601D0B"/>
    <w:multiLevelType w:val="multilevel"/>
    <w:tmpl w:val="FFFFFFFF"/>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7117C8"/>
    <w:multiLevelType w:val="multilevel"/>
    <w:tmpl w:val="FFFFFFFF"/>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653AC5"/>
    <w:multiLevelType w:val="multilevel"/>
    <w:tmpl w:val="CDCA48CE"/>
    <w:lvl w:ilvl="0">
      <w:start w:val="1"/>
      <w:numFmt w:val="bullet"/>
      <w:lvlText w:val="-"/>
      <w:lvlJc w:val="left"/>
      <w:pPr>
        <w:ind w:left="360" w:hanging="360"/>
      </w:pPr>
    </w:lvl>
    <w:lvl w:ilvl="1">
      <w:start w:val="1"/>
      <w:numFmt w:val="bullet"/>
      <w:lvlText w:val=""/>
      <w:lvlJc w:val="left"/>
      <w:rPr>
        <w:rFonts w:ascii="Symbol" w:hAnsi="Symbol" w:hint="default"/>
      </w:rPr>
    </w:lvl>
    <w:lvl w:ilvl="2">
      <w:numFmt w:val="decimal"/>
      <w:lvlText w:val=""/>
      <w:lvlJc w:val="left"/>
    </w:lvl>
    <w:lvl w:ilvl="3">
      <w:start w:val="1"/>
      <w:numFmt w:val="bullet"/>
      <w:lvlText w:val="-"/>
      <w:lvlJc w:val="left"/>
    </w:lvl>
    <w:lvl w:ilvl="4">
      <w:numFmt w:val="decimal"/>
      <w:lvlText w:val=""/>
      <w:lvlJc w:val="left"/>
    </w:lvl>
    <w:lvl w:ilvl="5">
      <w:numFmt w:val="decimal"/>
      <w:lvlText w:val=""/>
      <w:lvlJc w:val="left"/>
    </w:lvl>
    <w:lvl w:ilvl="6">
      <w:start w:val="1"/>
      <w:numFmt w:val="bullet"/>
      <w:lvlText w:val="-"/>
      <w:lvlJc w:val="left"/>
    </w:lvl>
    <w:lvl w:ilvl="7">
      <w:numFmt w:val="decimal"/>
      <w:lvlText w:val=""/>
      <w:lvlJc w:val="left"/>
    </w:lvl>
    <w:lvl w:ilvl="8">
      <w:numFmt w:val="decimal"/>
      <w:lvlText w:val=""/>
      <w:lvlJc w:val="left"/>
    </w:lvl>
  </w:abstractNum>
  <w:abstractNum w:abstractNumId="27" w15:restartNumberingAfterBreak="0">
    <w:nsid w:val="7F11134D"/>
    <w:multiLevelType w:val="multilevel"/>
    <w:tmpl w:val="FFFFFFFF"/>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DC6FB6"/>
    <w:multiLevelType w:val="multilevel"/>
    <w:tmpl w:val="FFFFFFFF"/>
    <w:lvl w:ilvl="0">
      <w:start w:val="1"/>
      <w:numFmt w:val="bullet"/>
      <w:lvlText w:val="-"/>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26"/>
  </w:num>
  <w:num w:numId="4">
    <w:abstractNumId w:val="10"/>
  </w:num>
  <w:num w:numId="5">
    <w:abstractNumId w:val="14"/>
  </w:num>
  <w:num w:numId="6">
    <w:abstractNumId w:val="3"/>
  </w:num>
  <w:num w:numId="7">
    <w:abstractNumId w:val="8"/>
  </w:num>
  <w:num w:numId="8">
    <w:abstractNumId w:val="5"/>
  </w:num>
  <w:num w:numId="9">
    <w:abstractNumId w:val="13"/>
  </w:num>
  <w:num w:numId="10">
    <w:abstractNumId w:val="11"/>
  </w:num>
  <w:num w:numId="11">
    <w:abstractNumId w:val="28"/>
  </w:num>
  <w:num w:numId="12">
    <w:abstractNumId w:val="24"/>
  </w:num>
  <w:num w:numId="13">
    <w:abstractNumId w:val="20"/>
  </w:num>
  <w:num w:numId="14">
    <w:abstractNumId w:val="27"/>
  </w:num>
  <w:num w:numId="15">
    <w:abstractNumId w:val="9"/>
  </w:num>
  <w:num w:numId="16">
    <w:abstractNumId w:val="16"/>
  </w:num>
  <w:num w:numId="17">
    <w:abstractNumId w:val="18"/>
  </w:num>
  <w:num w:numId="18">
    <w:abstractNumId w:val="6"/>
  </w:num>
  <w:num w:numId="19">
    <w:abstractNumId w:val="23"/>
  </w:num>
  <w:num w:numId="20">
    <w:abstractNumId w:val="15"/>
  </w:num>
  <w:num w:numId="21">
    <w:abstractNumId w:val="22"/>
  </w:num>
  <w:num w:numId="22">
    <w:abstractNumId w:val="19"/>
  </w:num>
  <w:num w:numId="23">
    <w:abstractNumId w:val="25"/>
  </w:num>
  <w:num w:numId="24">
    <w:abstractNumId w:val="7"/>
  </w:num>
  <w:num w:numId="25">
    <w:abstractNumId w:val="17"/>
  </w:num>
  <w:num w:numId="26">
    <w:abstractNumId w:val="1"/>
  </w:num>
  <w:num w:numId="27">
    <w:abstractNumId w:val="12"/>
  </w:num>
  <w:num w:numId="28">
    <w:abstractNumId w:val="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27"/>
  <w:hyphenationZone w:val="425"/>
  <w:doNotHyphenateCaps/>
  <w:displayHorizontalDrawingGridEvery w:val="0"/>
  <w:displayVerticalDrawingGridEvery w:val="0"/>
  <w:doNotUseMarginsForDrawingGridOrigin/>
  <w:doNotShadeFormData/>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5AB"/>
    <w:rsid w:val="000013FB"/>
    <w:rsid w:val="000029AB"/>
    <w:rsid w:val="0001185E"/>
    <w:rsid w:val="00017F88"/>
    <w:rsid w:val="00021446"/>
    <w:rsid w:val="00072DB1"/>
    <w:rsid w:val="000852AA"/>
    <w:rsid w:val="00085F52"/>
    <w:rsid w:val="000A6694"/>
    <w:rsid w:val="000A79F8"/>
    <w:rsid w:val="000A7C96"/>
    <w:rsid w:val="000B56E5"/>
    <w:rsid w:val="000C1989"/>
    <w:rsid w:val="000E294C"/>
    <w:rsid w:val="00103D51"/>
    <w:rsid w:val="001355FC"/>
    <w:rsid w:val="00144EA4"/>
    <w:rsid w:val="00145E44"/>
    <w:rsid w:val="00151798"/>
    <w:rsid w:val="001529D3"/>
    <w:rsid w:val="001605F1"/>
    <w:rsid w:val="00164FF6"/>
    <w:rsid w:val="0016787A"/>
    <w:rsid w:val="001704E0"/>
    <w:rsid w:val="00174037"/>
    <w:rsid w:val="001A1A8D"/>
    <w:rsid w:val="002154E6"/>
    <w:rsid w:val="002957EB"/>
    <w:rsid w:val="002A2F79"/>
    <w:rsid w:val="002B79DD"/>
    <w:rsid w:val="002D09AC"/>
    <w:rsid w:val="002D35DF"/>
    <w:rsid w:val="002E3959"/>
    <w:rsid w:val="002F54C2"/>
    <w:rsid w:val="00300826"/>
    <w:rsid w:val="00331488"/>
    <w:rsid w:val="00372489"/>
    <w:rsid w:val="00391D56"/>
    <w:rsid w:val="00394833"/>
    <w:rsid w:val="003A0DD9"/>
    <w:rsid w:val="003A6A29"/>
    <w:rsid w:val="003C3129"/>
    <w:rsid w:val="003D7046"/>
    <w:rsid w:val="003E2A10"/>
    <w:rsid w:val="00406013"/>
    <w:rsid w:val="00420A0F"/>
    <w:rsid w:val="00426D29"/>
    <w:rsid w:val="004341F8"/>
    <w:rsid w:val="00436435"/>
    <w:rsid w:val="0043727E"/>
    <w:rsid w:val="004644D4"/>
    <w:rsid w:val="0047313D"/>
    <w:rsid w:val="00481F2C"/>
    <w:rsid w:val="00482166"/>
    <w:rsid w:val="00496BD1"/>
    <w:rsid w:val="004A4758"/>
    <w:rsid w:val="004B68B6"/>
    <w:rsid w:val="004C04C7"/>
    <w:rsid w:val="004C1872"/>
    <w:rsid w:val="004D09DB"/>
    <w:rsid w:val="004F2AD8"/>
    <w:rsid w:val="004F44F7"/>
    <w:rsid w:val="00524C4D"/>
    <w:rsid w:val="00550895"/>
    <w:rsid w:val="00551598"/>
    <w:rsid w:val="005605E9"/>
    <w:rsid w:val="0058205B"/>
    <w:rsid w:val="005A62AF"/>
    <w:rsid w:val="005C0648"/>
    <w:rsid w:val="006132B9"/>
    <w:rsid w:val="00623F7F"/>
    <w:rsid w:val="00624628"/>
    <w:rsid w:val="00642071"/>
    <w:rsid w:val="006825A0"/>
    <w:rsid w:val="006D105C"/>
    <w:rsid w:val="006D6A86"/>
    <w:rsid w:val="0071765D"/>
    <w:rsid w:val="007235AB"/>
    <w:rsid w:val="00730F35"/>
    <w:rsid w:val="007519A0"/>
    <w:rsid w:val="00770643"/>
    <w:rsid w:val="0078562A"/>
    <w:rsid w:val="00794E02"/>
    <w:rsid w:val="007A6A11"/>
    <w:rsid w:val="007B1348"/>
    <w:rsid w:val="007B5C53"/>
    <w:rsid w:val="007C3FB2"/>
    <w:rsid w:val="007E2119"/>
    <w:rsid w:val="007F0CFA"/>
    <w:rsid w:val="008036CB"/>
    <w:rsid w:val="00805D12"/>
    <w:rsid w:val="008069D9"/>
    <w:rsid w:val="00807272"/>
    <w:rsid w:val="008173C5"/>
    <w:rsid w:val="00836266"/>
    <w:rsid w:val="00844DFD"/>
    <w:rsid w:val="008660A3"/>
    <w:rsid w:val="00873922"/>
    <w:rsid w:val="00881ED7"/>
    <w:rsid w:val="008C4B95"/>
    <w:rsid w:val="008D3AD7"/>
    <w:rsid w:val="00914317"/>
    <w:rsid w:val="00924558"/>
    <w:rsid w:val="00942264"/>
    <w:rsid w:val="0096613E"/>
    <w:rsid w:val="00966F4E"/>
    <w:rsid w:val="00970DB4"/>
    <w:rsid w:val="00982AAB"/>
    <w:rsid w:val="00995022"/>
    <w:rsid w:val="00996C1F"/>
    <w:rsid w:val="00997404"/>
    <w:rsid w:val="0099782F"/>
    <w:rsid w:val="009A4798"/>
    <w:rsid w:val="009B18FF"/>
    <w:rsid w:val="009D1F2D"/>
    <w:rsid w:val="009D3689"/>
    <w:rsid w:val="009D38BB"/>
    <w:rsid w:val="009D6EE1"/>
    <w:rsid w:val="009D7BC0"/>
    <w:rsid w:val="009E6BD7"/>
    <w:rsid w:val="009F74F7"/>
    <w:rsid w:val="00A05F0D"/>
    <w:rsid w:val="00A43423"/>
    <w:rsid w:val="00A500B0"/>
    <w:rsid w:val="00A83E46"/>
    <w:rsid w:val="00AA5893"/>
    <w:rsid w:val="00AC4C12"/>
    <w:rsid w:val="00AE3C38"/>
    <w:rsid w:val="00B13576"/>
    <w:rsid w:val="00B30DF8"/>
    <w:rsid w:val="00BA4C70"/>
    <w:rsid w:val="00BB1195"/>
    <w:rsid w:val="00BB41E8"/>
    <w:rsid w:val="00BB652A"/>
    <w:rsid w:val="00BC2670"/>
    <w:rsid w:val="00BD395B"/>
    <w:rsid w:val="00BE49F8"/>
    <w:rsid w:val="00BE50C7"/>
    <w:rsid w:val="00BE643D"/>
    <w:rsid w:val="00C00897"/>
    <w:rsid w:val="00C026F1"/>
    <w:rsid w:val="00C34590"/>
    <w:rsid w:val="00C63F23"/>
    <w:rsid w:val="00C77B1B"/>
    <w:rsid w:val="00C874CC"/>
    <w:rsid w:val="00C90019"/>
    <w:rsid w:val="00C92A84"/>
    <w:rsid w:val="00CC6DFC"/>
    <w:rsid w:val="00CE2825"/>
    <w:rsid w:val="00CF7D4B"/>
    <w:rsid w:val="00D048BB"/>
    <w:rsid w:val="00D57E38"/>
    <w:rsid w:val="00D64C22"/>
    <w:rsid w:val="00D864DF"/>
    <w:rsid w:val="00D919F9"/>
    <w:rsid w:val="00DB1942"/>
    <w:rsid w:val="00DB6141"/>
    <w:rsid w:val="00DD0EB1"/>
    <w:rsid w:val="00DD5329"/>
    <w:rsid w:val="00DD616B"/>
    <w:rsid w:val="00E00E94"/>
    <w:rsid w:val="00E647EB"/>
    <w:rsid w:val="00E7400B"/>
    <w:rsid w:val="00E80CBE"/>
    <w:rsid w:val="00E85A59"/>
    <w:rsid w:val="00EC3957"/>
    <w:rsid w:val="00EE4058"/>
    <w:rsid w:val="00EE7800"/>
    <w:rsid w:val="00EF3A34"/>
    <w:rsid w:val="00F06527"/>
    <w:rsid w:val="00F15BC8"/>
    <w:rsid w:val="00F336EC"/>
    <w:rsid w:val="00F37805"/>
    <w:rsid w:val="00F51BCF"/>
    <w:rsid w:val="00F5314E"/>
    <w:rsid w:val="00F62304"/>
    <w:rsid w:val="00F9571B"/>
    <w:rsid w:val="00FA0AD5"/>
    <w:rsid w:val="00FD6566"/>
    <w:rsid w:val="00FD7011"/>
    <w:rsid w:val="00FF1832"/>
    <w:rsid w:val="00FF4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1FACA"/>
  <w15:docId w15:val="{4B1BEFBD-187E-4261-97F1-AE2F9B21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en-US"/>
    </w:rPr>
  </w:style>
  <w:style w:type="paragraph" w:styleId="Heading1">
    <w:name w:val="heading 1"/>
    <w:basedOn w:val="Normal"/>
    <w:next w:val="Normal"/>
    <w:qFormat/>
    <w:pPr>
      <w:jc w:val="center"/>
      <w:outlineLvl w:val="0"/>
    </w:pPr>
    <w:rPr>
      <w:b/>
      <w:bCs/>
      <w:sz w:val="28"/>
      <w:szCs w:val="28"/>
    </w:rPr>
  </w:style>
  <w:style w:type="paragraph" w:styleId="Heading2">
    <w:name w:val="heading 2"/>
    <w:basedOn w:val="Normal"/>
    <w:next w:val="Normal"/>
    <w:qFormat/>
    <w:pPr>
      <w:ind w:left="227" w:hanging="227"/>
      <w:outlineLvl w:val="1"/>
    </w:pPr>
    <w:rPr>
      <w:b/>
      <w:bCs/>
    </w:rPr>
  </w:style>
  <w:style w:type="paragraph" w:styleId="Heading3">
    <w:name w:val="heading 3"/>
    <w:basedOn w:val="Normal"/>
    <w:next w:val="Normal"/>
    <w:qFormat/>
    <w:pPr>
      <w:ind w:left="681" w:hanging="454"/>
      <w:outlineLvl w:val="2"/>
    </w:pPr>
    <w:rPr>
      <w:u w:val="single"/>
    </w:rPr>
  </w:style>
  <w:style w:type="paragraph" w:styleId="Heading5">
    <w:name w:val="heading 5"/>
    <w:basedOn w:val="Normal"/>
    <w:next w:val="Normal"/>
    <w:qFormat/>
    <w:pPr>
      <w:ind w:left="681"/>
      <w:outlineLvl w:val="4"/>
    </w:pPr>
    <w:rPr>
      <w:b/>
      <w:bCs/>
      <w:i/>
      <w:iCs/>
      <w:sz w:val="22"/>
      <w:szCs w:val="22"/>
    </w:rPr>
  </w:style>
  <w:style w:type="paragraph" w:styleId="Heading7">
    <w:name w:val="heading 7"/>
    <w:basedOn w:val="Normal"/>
    <w:next w:val="Normal"/>
    <w:qFormat/>
    <w:pPr>
      <w:keepNext/>
      <w:ind w:left="681"/>
      <w:jc w:val="both"/>
      <w:outlineLvl w:val="6"/>
    </w:pPr>
    <w:rPr>
      <w:u w:val="single"/>
    </w:rPr>
  </w:style>
  <w:style w:type="paragraph" w:styleId="Heading9">
    <w:name w:val="heading 9"/>
    <w:basedOn w:val="Normal"/>
    <w:next w:val="Normal"/>
    <w:qFormat/>
    <w:pPr>
      <w:keepNext/>
      <w:ind w:left="681"/>
      <w:jc w:val="both"/>
      <w:outlineLvl w:val="8"/>
    </w:pPr>
    <w:rPr>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rFonts w:ascii="Arial" w:hAnsi="Arial" w:cs="Arial"/>
    </w:rPr>
  </w:style>
  <w:style w:type="paragraph" w:styleId="Header">
    <w:name w:val="header"/>
    <w:basedOn w:val="Normal"/>
    <w:link w:val="HeaderChar"/>
    <w:pPr>
      <w:tabs>
        <w:tab w:val="right" w:pos="9072"/>
      </w:tabs>
    </w:pPr>
    <w:rPr>
      <w:lang w:eastAsia="x-none"/>
    </w:rPr>
  </w:style>
  <w:style w:type="paragraph" w:styleId="Footer">
    <w:name w:val="footer"/>
    <w:basedOn w:val="Normal"/>
    <w:pPr>
      <w:tabs>
        <w:tab w:val="right" w:pos="9072"/>
      </w:tabs>
    </w:pPr>
    <w:rPr>
      <w:i/>
      <w:iCs/>
      <w:sz w:val="18"/>
      <w:szCs w:val="18"/>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BalloonText">
    <w:name w:val="Balloon Text"/>
    <w:basedOn w:val="Normal"/>
    <w:link w:val="BalloonTextChar"/>
    <w:rsid w:val="007B5C53"/>
    <w:rPr>
      <w:rFonts w:ascii="Tahoma" w:hAnsi="Tahoma"/>
      <w:sz w:val="16"/>
      <w:szCs w:val="16"/>
      <w:lang w:eastAsia="x-none"/>
    </w:rPr>
  </w:style>
  <w:style w:type="character" w:customStyle="1" w:styleId="BalloonTextChar">
    <w:name w:val="Balloon Text Char"/>
    <w:link w:val="BalloonText"/>
    <w:rsid w:val="007B5C53"/>
    <w:rPr>
      <w:rFonts w:ascii="Tahoma" w:hAnsi="Tahoma" w:cs="Tahoma"/>
      <w:sz w:val="16"/>
      <w:szCs w:val="16"/>
      <w:lang w:val="fr-FR"/>
    </w:rPr>
  </w:style>
  <w:style w:type="paragraph" w:customStyle="1" w:styleId="EMEABodyText">
    <w:name w:val="EMEA Body Text"/>
    <w:basedOn w:val="Normal"/>
    <w:link w:val="EMEABodyTextChar"/>
    <w:rsid w:val="007B5C53"/>
    <w:rPr>
      <w:sz w:val="22"/>
      <w:szCs w:val="20"/>
      <w:lang w:val="en-GB" w:eastAsia="x-none"/>
    </w:rPr>
  </w:style>
  <w:style w:type="character" w:customStyle="1" w:styleId="EMEABodyTextChar">
    <w:name w:val="EMEA Body Text Char"/>
    <w:link w:val="EMEABodyText"/>
    <w:locked/>
    <w:rsid w:val="007B5C53"/>
    <w:rPr>
      <w:sz w:val="22"/>
      <w:lang w:val="en-GB"/>
    </w:rPr>
  </w:style>
  <w:style w:type="character" w:customStyle="1" w:styleId="HeaderChar">
    <w:name w:val="Header Char"/>
    <w:link w:val="Header"/>
    <w:rsid w:val="000013FB"/>
    <w:rPr>
      <w:sz w:val="24"/>
      <w:szCs w:val="24"/>
      <w:lang w:val="fr-FR"/>
    </w:rPr>
  </w:style>
  <w:style w:type="character" w:styleId="CommentReference">
    <w:name w:val="annotation reference"/>
    <w:rsid w:val="00730F35"/>
    <w:rPr>
      <w:sz w:val="16"/>
      <w:szCs w:val="16"/>
    </w:rPr>
  </w:style>
  <w:style w:type="paragraph" w:styleId="CommentText">
    <w:name w:val="annotation text"/>
    <w:basedOn w:val="Normal"/>
    <w:link w:val="CommentTextChar"/>
    <w:rsid w:val="00730F35"/>
    <w:rPr>
      <w:sz w:val="20"/>
      <w:szCs w:val="20"/>
      <w:lang w:eastAsia="x-none"/>
    </w:rPr>
  </w:style>
  <w:style w:type="character" w:customStyle="1" w:styleId="CommentTextChar">
    <w:name w:val="Comment Text Char"/>
    <w:link w:val="CommentText"/>
    <w:rsid w:val="00730F35"/>
    <w:rPr>
      <w:lang w:val="fr-FR"/>
    </w:rPr>
  </w:style>
  <w:style w:type="paragraph" w:styleId="CommentSubject">
    <w:name w:val="annotation subject"/>
    <w:basedOn w:val="CommentText"/>
    <w:next w:val="CommentText"/>
    <w:link w:val="CommentSubjectChar"/>
    <w:rsid w:val="00730F35"/>
    <w:rPr>
      <w:b/>
      <w:bCs/>
    </w:rPr>
  </w:style>
  <w:style w:type="character" w:customStyle="1" w:styleId="CommentSubjectChar">
    <w:name w:val="Comment Subject Char"/>
    <w:link w:val="CommentSubject"/>
    <w:rsid w:val="00730F35"/>
    <w:rPr>
      <w:b/>
      <w:bCs/>
      <w:lang w:val="fr-FR"/>
    </w:rPr>
  </w:style>
  <w:style w:type="paragraph" w:styleId="ListParagraph">
    <w:name w:val="List Paragraph"/>
    <w:basedOn w:val="Normal"/>
    <w:uiPriority w:val="34"/>
    <w:qFormat/>
    <w:rsid w:val="00372489"/>
    <w:pPr>
      <w:ind w:left="720"/>
    </w:pPr>
  </w:style>
  <w:style w:type="character" w:styleId="Hyperlink">
    <w:name w:val="Hyperlink"/>
    <w:rsid w:val="0078562A"/>
    <w:rPr>
      <w:color w:val="0000FF"/>
      <w:u w:val="single"/>
    </w:rPr>
  </w:style>
  <w:style w:type="paragraph" w:customStyle="1" w:styleId="spacing1">
    <w:name w:val="spacing1"/>
    <w:basedOn w:val="Normal"/>
    <w:rsid w:val="001605F1"/>
    <w:pPr>
      <w:spacing w:before="100" w:beforeAutospacing="1" w:after="100"/>
    </w:pPr>
    <w:rPr>
      <w:lang w:val="en-GB" w:eastAsia="en-GB"/>
    </w:rPr>
  </w:style>
  <w:style w:type="paragraph" w:customStyle="1" w:styleId="nospacing">
    <w:name w:val="nospacing"/>
    <w:basedOn w:val="Normal"/>
    <w:rsid w:val="001605F1"/>
    <w:pPr>
      <w:spacing w:before="100" w:beforeAutospacing="1" w:after="100"/>
    </w:pPr>
    <w:rPr>
      <w:lang w:val="en-GB" w:eastAsia="en-GB"/>
    </w:rPr>
  </w:style>
  <w:style w:type="character" w:customStyle="1" w:styleId="hps">
    <w:name w:val="hps"/>
    <w:rsid w:val="004341F8"/>
  </w:style>
  <w:style w:type="paragraph" w:customStyle="1" w:styleId="EMEAHeading1">
    <w:name w:val="EMEA Heading 1"/>
    <w:basedOn w:val="EMEABodyText"/>
    <w:next w:val="EMEABodyText"/>
    <w:rsid w:val="00017F88"/>
    <w:pPr>
      <w:keepNext/>
      <w:keepLines/>
      <w:ind w:left="567" w:hanging="567"/>
      <w:outlineLvl w:val="0"/>
    </w:pPr>
    <w:rPr>
      <w:b/>
      <w:caps/>
      <w:lang w:eastAsia="en-US"/>
    </w:rPr>
  </w:style>
  <w:style w:type="character" w:styleId="UnresolvedMention">
    <w:name w:val="Unresolved Mention"/>
    <w:basedOn w:val="DefaultParagraphFont"/>
    <w:uiPriority w:val="99"/>
    <w:semiHidden/>
    <w:unhideWhenUsed/>
    <w:rsid w:val="00C34590"/>
    <w:rPr>
      <w:color w:val="605E5C"/>
      <w:shd w:val="clear" w:color="auto" w:fill="E1DFDD"/>
    </w:rPr>
  </w:style>
  <w:style w:type="paragraph" w:customStyle="1" w:styleId="xmsonormal">
    <w:name w:val="x_msonormal"/>
    <w:basedOn w:val="Normal"/>
    <w:uiPriority w:val="99"/>
    <w:rsid w:val="007F0CFA"/>
    <w:rPr>
      <w:rFonts w:eastAsia="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0259">
      <w:bodyDiv w:val="1"/>
      <w:marLeft w:val="0"/>
      <w:marRight w:val="0"/>
      <w:marTop w:val="0"/>
      <w:marBottom w:val="0"/>
      <w:divBdr>
        <w:top w:val="none" w:sz="0" w:space="0" w:color="auto"/>
        <w:left w:val="none" w:sz="0" w:space="0" w:color="auto"/>
        <w:bottom w:val="none" w:sz="0" w:space="0" w:color="auto"/>
        <w:right w:val="none" w:sz="0" w:space="0" w:color="auto"/>
      </w:divBdr>
    </w:div>
    <w:div w:id="579408547">
      <w:bodyDiv w:val="1"/>
      <w:marLeft w:val="0"/>
      <w:marRight w:val="0"/>
      <w:marTop w:val="0"/>
      <w:marBottom w:val="0"/>
      <w:divBdr>
        <w:top w:val="none" w:sz="0" w:space="0" w:color="auto"/>
        <w:left w:val="none" w:sz="0" w:space="0" w:color="auto"/>
        <w:bottom w:val="none" w:sz="0" w:space="0" w:color="auto"/>
        <w:right w:val="none" w:sz="0" w:space="0" w:color="auto"/>
      </w:divBdr>
    </w:div>
    <w:div w:id="1094327578">
      <w:bodyDiv w:val="1"/>
      <w:marLeft w:val="0"/>
      <w:marRight w:val="0"/>
      <w:marTop w:val="0"/>
      <w:marBottom w:val="0"/>
      <w:divBdr>
        <w:top w:val="none" w:sz="0" w:space="0" w:color="auto"/>
        <w:left w:val="none" w:sz="0" w:space="0" w:color="auto"/>
        <w:bottom w:val="none" w:sz="0" w:space="0" w:color="auto"/>
        <w:right w:val="none" w:sz="0" w:space="0" w:color="auto"/>
      </w:divBdr>
      <w:divsChild>
        <w:div w:id="1954900521">
          <w:marLeft w:val="0"/>
          <w:marRight w:val="0"/>
          <w:marTop w:val="0"/>
          <w:marBottom w:val="0"/>
          <w:divBdr>
            <w:top w:val="none" w:sz="0" w:space="0" w:color="auto"/>
            <w:left w:val="none" w:sz="0" w:space="0" w:color="auto"/>
            <w:bottom w:val="none" w:sz="0" w:space="0" w:color="auto"/>
            <w:right w:val="none" w:sz="0" w:space="0" w:color="auto"/>
          </w:divBdr>
          <w:divsChild>
            <w:div w:id="64619613">
              <w:marLeft w:val="0"/>
              <w:marRight w:val="0"/>
              <w:marTop w:val="0"/>
              <w:marBottom w:val="0"/>
              <w:divBdr>
                <w:top w:val="none" w:sz="0" w:space="0" w:color="auto"/>
                <w:left w:val="none" w:sz="0" w:space="0" w:color="auto"/>
                <w:bottom w:val="none" w:sz="0" w:space="0" w:color="auto"/>
                <w:right w:val="none" w:sz="0" w:space="0" w:color="auto"/>
              </w:divBdr>
              <w:divsChild>
                <w:div w:id="1558398974">
                  <w:marLeft w:val="0"/>
                  <w:marRight w:val="0"/>
                  <w:marTop w:val="0"/>
                  <w:marBottom w:val="0"/>
                  <w:divBdr>
                    <w:top w:val="none" w:sz="0" w:space="0" w:color="auto"/>
                    <w:left w:val="none" w:sz="0" w:space="0" w:color="auto"/>
                    <w:bottom w:val="none" w:sz="0" w:space="0" w:color="auto"/>
                    <w:right w:val="none" w:sz="0" w:space="0" w:color="auto"/>
                  </w:divBdr>
                  <w:divsChild>
                    <w:div w:id="703333472">
                      <w:marLeft w:val="0"/>
                      <w:marRight w:val="0"/>
                      <w:marTop w:val="0"/>
                      <w:marBottom w:val="0"/>
                      <w:divBdr>
                        <w:top w:val="none" w:sz="0" w:space="0" w:color="auto"/>
                        <w:left w:val="none" w:sz="0" w:space="0" w:color="auto"/>
                        <w:bottom w:val="none" w:sz="0" w:space="0" w:color="auto"/>
                        <w:right w:val="none" w:sz="0" w:space="0" w:color="auto"/>
                      </w:divBdr>
                      <w:divsChild>
                        <w:div w:id="2044598898">
                          <w:marLeft w:val="0"/>
                          <w:marRight w:val="0"/>
                          <w:marTop w:val="0"/>
                          <w:marBottom w:val="0"/>
                          <w:divBdr>
                            <w:top w:val="none" w:sz="0" w:space="0" w:color="auto"/>
                            <w:left w:val="none" w:sz="0" w:space="0" w:color="auto"/>
                            <w:bottom w:val="none" w:sz="0" w:space="0" w:color="auto"/>
                            <w:right w:val="none" w:sz="0" w:space="0" w:color="auto"/>
                          </w:divBdr>
                          <w:divsChild>
                            <w:div w:id="1760639750">
                              <w:marLeft w:val="0"/>
                              <w:marRight w:val="0"/>
                              <w:marTop w:val="0"/>
                              <w:marBottom w:val="0"/>
                              <w:divBdr>
                                <w:top w:val="none" w:sz="0" w:space="0" w:color="auto"/>
                                <w:left w:val="none" w:sz="0" w:space="0" w:color="auto"/>
                                <w:bottom w:val="none" w:sz="0" w:space="0" w:color="auto"/>
                                <w:right w:val="none" w:sz="0" w:space="0" w:color="auto"/>
                              </w:divBdr>
                              <w:divsChild>
                                <w:div w:id="2010668101">
                                  <w:marLeft w:val="0"/>
                                  <w:marRight w:val="0"/>
                                  <w:marTop w:val="0"/>
                                  <w:marBottom w:val="0"/>
                                  <w:divBdr>
                                    <w:top w:val="none" w:sz="0" w:space="0" w:color="auto"/>
                                    <w:left w:val="none" w:sz="0" w:space="0" w:color="auto"/>
                                    <w:bottom w:val="none" w:sz="0" w:space="0" w:color="auto"/>
                                    <w:right w:val="none" w:sz="0" w:space="0" w:color="auto"/>
                                  </w:divBdr>
                                  <w:divsChild>
                                    <w:div w:id="461389855">
                                      <w:marLeft w:val="0"/>
                                      <w:marRight w:val="0"/>
                                      <w:marTop w:val="0"/>
                                      <w:marBottom w:val="0"/>
                                      <w:divBdr>
                                        <w:top w:val="none" w:sz="0" w:space="0" w:color="auto"/>
                                        <w:left w:val="none" w:sz="0" w:space="0" w:color="auto"/>
                                        <w:bottom w:val="none" w:sz="0" w:space="0" w:color="auto"/>
                                        <w:right w:val="none" w:sz="0" w:space="0" w:color="auto"/>
                                      </w:divBdr>
                                      <w:divsChild>
                                        <w:div w:id="1280185306">
                                          <w:marLeft w:val="0"/>
                                          <w:marRight w:val="0"/>
                                          <w:marTop w:val="0"/>
                                          <w:marBottom w:val="0"/>
                                          <w:divBdr>
                                            <w:top w:val="none" w:sz="0" w:space="0" w:color="auto"/>
                                            <w:left w:val="none" w:sz="0" w:space="0" w:color="auto"/>
                                            <w:bottom w:val="none" w:sz="0" w:space="0" w:color="auto"/>
                                            <w:right w:val="none" w:sz="0" w:space="0" w:color="auto"/>
                                          </w:divBdr>
                                          <w:divsChild>
                                            <w:div w:id="1679841548">
                                              <w:marLeft w:val="0"/>
                                              <w:marRight w:val="0"/>
                                              <w:marTop w:val="0"/>
                                              <w:marBottom w:val="495"/>
                                              <w:divBdr>
                                                <w:top w:val="none" w:sz="0" w:space="0" w:color="auto"/>
                                                <w:left w:val="none" w:sz="0" w:space="0" w:color="auto"/>
                                                <w:bottom w:val="none" w:sz="0" w:space="0" w:color="auto"/>
                                                <w:right w:val="none" w:sz="0" w:space="0" w:color="auto"/>
                                              </w:divBdr>
                                              <w:divsChild>
                                                <w:div w:id="20371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338636">
      <w:bodyDiv w:val="1"/>
      <w:marLeft w:val="0"/>
      <w:marRight w:val="0"/>
      <w:marTop w:val="0"/>
      <w:marBottom w:val="0"/>
      <w:divBdr>
        <w:top w:val="none" w:sz="0" w:space="0" w:color="auto"/>
        <w:left w:val="none" w:sz="0" w:space="0" w:color="auto"/>
        <w:bottom w:val="none" w:sz="0" w:space="0" w:color="auto"/>
        <w:right w:val="none" w:sz="0" w:space="0" w:color="auto"/>
      </w:divBdr>
      <w:divsChild>
        <w:div w:id="1616406290">
          <w:marLeft w:val="0"/>
          <w:marRight w:val="0"/>
          <w:marTop w:val="0"/>
          <w:marBottom w:val="0"/>
          <w:divBdr>
            <w:top w:val="none" w:sz="0" w:space="0" w:color="auto"/>
            <w:left w:val="none" w:sz="0" w:space="0" w:color="auto"/>
            <w:bottom w:val="none" w:sz="0" w:space="0" w:color="auto"/>
            <w:right w:val="none" w:sz="0" w:space="0" w:color="auto"/>
          </w:divBdr>
          <w:divsChild>
            <w:div w:id="2014843804">
              <w:marLeft w:val="0"/>
              <w:marRight w:val="0"/>
              <w:marTop w:val="0"/>
              <w:marBottom w:val="0"/>
              <w:divBdr>
                <w:top w:val="none" w:sz="0" w:space="0" w:color="auto"/>
                <w:left w:val="none" w:sz="0" w:space="0" w:color="auto"/>
                <w:bottom w:val="none" w:sz="0" w:space="0" w:color="auto"/>
                <w:right w:val="none" w:sz="0" w:space="0" w:color="auto"/>
              </w:divBdr>
              <w:divsChild>
                <w:div w:id="468059990">
                  <w:marLeft w:val="0"/>
                  <w:marRight w:val="0"/>
                  <w:marTop w:val="0"/>
                  <w:marBottom w:val="0"/>
                  <w:divBdr>
                    <w:top w:val="none" w:sz="0" w:space="0" w:color="auto"/>
                    <w:left w:val="none" w:sz="0" w:space="0" w:color="auto"/>
                    <w:bottom w:val="none" w:sz="0" w:space="0" w:color="auto"/>
                    <w:right w:val="none" w:sz="0" w:space="0" w:color="auto"/>
                  </w:divBdr>
                  <w:divsChild>
                    <w:div w:id="967050658">
                      <w:marLeft w:val="0"/>
                      <w:marRight w:val="0"/>
                      <w:marTop w:val="0"/>
                      <w:marBottom w:val="0"/>
                      <w:divBdr>
                        <w:top w:val="none" w:sz="0" w:space="0" w:color="auto"/>
                        <w:left w:val="none" w:sz="0" w:space="0" w:color="auto"/>
                        <w:bottom w:val="none" w:sz="0" w:space="0" w:color="auto"/>
                        <w:right w:val="none" w:sz="0" w:space="0" w:color="auto"/>
                      </w:divBdr>
                      <w:divsChild>
                        <w:div w:id="1879926199">
                          <w:marLeft w:val="0"/>
                          <w:marRight w:val="0"/>
                          <w:marTop w:val="0"/>
                          <w:marBottom w:val="0"/>
                          <w:divBdr>
                            <w:top w:val="none" w:sz="0" w:space="0" w:color="auto"/>
                            <w:left w:val="none" w:sz="0" w:space="0" w:color="auto"/>
                            <w:bottom w:val="none" w:sz="0" w:space="0" w:color="auto"/>
                            <w:right w:val="none" w:sz="0" w:space="0" w:color="auto"/>
                          </w:divBdr>
                          <w:divsChild>
                            <w:div w:id="659119574">
                              <w:marLeft w:val="0"/>
                              <w:marRight w:val="0"/>
                              <w:marTop w:val="0"/>
                              <w:marBottom w:val="0"/>
                              <w:divBdr>
                                <w:top w:val="none" w:sz="0" w:space="0" w:color="auto"/>
                                <w:left w:val="none" w:sz="0" w:space="0" w:color="auto"/>
                                <w:bottom w:val="none" w:sz="0" w:space="0" w:color="auto"/>
                                <w:right w:val="none" w:sz="0" w:space="0" w:color="auto"/>
                              </w:divBdr>
                              <w:divsChild>
                                <w:div w:id="891110879">
                                  <w:marLeft w:val="0"/>
                                  <w:marRight w:val="0"/>
                                  <w:marTop w:val="0"/>
                                  <w:marBottom w:val="0"/>
                                  <w:divBdr>
                                    <w:top w:val="none" w:sz="0" w:space="0" w:color="auto"/>
                                    <w:left w:val="none" w:sz="0" w:space="0" w:color="auto"/>
                                    <w:bottom w:val="none" w:sz="0" w:space="0" w:color="auto"/>
                                    <w:right w:val="none" w:sz="0" w:space="0" w:color="auto"/>
                                  </w:divBdr>
                                  <w:divsChild>
                                    <w:div w:id="1632436632">
                                      <w:marLeft w:val="0"/>
                                      <w:marRight w:val="0"/>
                                      <w:marTop w:val="0"/>
                                      <w:marBottom w:val="0"/>
                                      <w:divBdr>
                                        <w:top w:val="none" w:sz="0" w:space="0" w:color="auto"/>
                                        <w:left w:val="none" w:sz="0" w:space="0" w:color="auto"/>
                                        <w:bottom w:val="none" w:sz="0" w:space="0" w:color="auto"/>
                                        <w:right w:val="none" w:sz="0" w:space="0" w:color="auto"/>
                                      </w:divBdr>
                                      <w:divsChild>
                                        <w:div w:id="276763725">
                                          <w:marLeft w:val="0"/>
                                          <w:marRight w:val="0"/>
                                          <w:marTop w:val="0"/>
                                          <w:marBottom w:val="0"/>
                                          <w:divBdr>
                                            <w:top w:val="none" w:sz="0" w:space="0" w:color="auto"/>
                                            <w:left w:val="none" w:sz="0" w:space="0" w:color="auto"/>
                                            <w:bottom w:val="none" w:sz="0" w:space="0" w:color="auto"/>
                                            <w:right w:val="none" w:sz="0" w:space="0" w:color="auto"/>
                                          </w:divBdr>
                                          <w:divsChild>
                                            <w:div w:id="664020004">
                                              <w:marLeft w:val="0"/>
                                              <w:marRight w:val="0"/>
                                              <w:marTop w:val="0"/>
                                              <w:marBottom w:val="495"/>
                                              <w:divBdr>
                                                <w:top w:val="none" w:sz="0" w:space="0" w:color="auto"/>
                                                <w:left w:val="none" w:sz="0" w:space="0" w:color="auto"/>
                                                <w:bottom w:val="none" w:sz="0" w:space="0" w:color="auto"/>
                                                <w:right w:val="none" w:sz="0" w:space="0" w:color="auto"/>
                                              </w:divBdr>
                                              <w:divsChild>
                                                <w:div w:id="5299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5212645">
      <w:bodyDiv w:val="1"/>
      <w:marLeft w:val="0"/>
      <w:marRight w:val="0"/>
      <w:marTop w:val="0"/>
      <w:marBottom w:val="0"/>
      <w:divBdr>
        <w:top w:val="none" w:sz="0" w:space="0" w:color="auto"/>
        <w:left w:val="none" w:sz="0" w:space="0" w:color="auto"/>
        <w:bottom w:val="none" w:sz="0" w:space="0" w:color="auto"/>
        <w:right w:val="none" w:sz="0" w:space="0" w:color="auto"/>
      </w:divBdr>
      <w:divsChild>
        <w:div w:id="1950236862">
          <w:marLeft w:val="0"/>
          <w:marRight w:val="0"/>
          <w:marTop w:val="0"/>
          <w:marBottom w:val="0"/>
          <w:divBdr>
            <w:top w:val="none" w:sz="0" w:space="0" w:color="auto"/>
            <w:left w:val="none" w:sz="0" w:space="0" w:color="auto"/>
            <w:bottom w:val="none" w:sz="0" w:space="0" w:color="auto"/>
            <w:right w:val="none" w:sz="0" w:space="0" w:color="auto"/>
          </w:divBdr>
          <w:divsChild>
            <w:div w:id="1721053988">
              <w:marLeft w:val="0"/>
              <w:marRight w:val="0"/>
              <w:marTop w:val="0"/>
              <w:marBottom w:val="0"/>
              <w:divBdr>
                <w:top w:val="none" w:sz="0" w:space="0" w:color="auto"/>
                <w:left w:val="none" w:sz="0" w:space="0" w:color="auto"/>
                <w:bottom w:val="none" w:sz="0" w:space="0" w:color="auto"/>
                <w:right w:val="none" w:sz="0" w:space="0" w:color="auto"/>
              </w:divBdr>
              <w:divsChild>
                <w:div w:id="199249131">
                  <w:marLeft w:val="0"/>
                  <w:marRight w:val="0"/>
                  <w:marTop w:val="0"/>
                  <w:marBottom w:val="0"/>
                  <w:divBdr>
                    <w:top w:val="none" w:sz="0" w:space="0" w:color="auto"/>
                    <w:left w:val="none" w:sz="0" w:space="0" w:color="auto"/>
                    <w:bottom w:val="none" w:sz="0" w:space="0" w:color="auto"/>
                    <w:right w:val="none" w:sz="0" w:space="0" w:color="auto"/>
                  </w:divBdr>
                  <w:divsChild>
                    <w:div w:id="240919321">
                      <w:marLeft w:val="0"/>
                      <w:marRight w:val="0"/>
                      <w:marTop w:val="0"/>
                      <w:marBottom w:val="0"/>
                      <w:divBdr>
                        <w:top w:val="none" w:sz="0" w:space="0" w:color="auto"/>
                        <w:left w:val="none" w:sz="0" w:space="0" w:color="auto"/>
                        <w:bottom w:val="none" w:sz="0" w:space="0" w:color="auto"/>
                        <w:right w:val="none" w:sz="0" w:space="0" w:color="auto"/>
                      </w:divBdr>
                      <w:divsChild>
                        <w:div w:id="2124687330">
                          <w:marLeft w:val="0"/>
                          <w:marRight w:val="0"/>
                          <w:marTop w:val="0"/>
                          <w:marBottom w:val="0"/>
                          <w:divBdr>
                            <w:top w:val="none" w:sz="0" w:space="0" w:color="auto"/>
                            <w:left w:val="none" w:sz="0" w:space="0" w:color="auto"/>
                            <w:bottom w:val="none" w:sz="0" w:space="0" w:color="auto"/>
                            <w:right w:val="none" w:sz="0" w:space="0" w:color="auto"/>
                          </w:divBdr>
                          <w:divsChild>
                            <w:div w:id="670066618">
                              <w:marLeft w:val="0"/>
                              <w:marRight w:val="0"/>
                              <w:marTop w:val="0"/>
                              <w:marBottom w:val="0"/>
                              <w:divBdr>
                                <w:top w:val="none" w:sz="0" w:space="0" w:color="auto"/>
                                <w:left w:val="none" w:sz="0" w:space="0" w:color="auto"/>
                                <w:bottom w:val="none" w:sz="0" w:space="0" w:color="auto"/>
                                <w:right w:val="none" w:sz="0" w:space="0" w:color="auto"/>
                              </w:divBdr>
                              <w:divsChild>
                                <w:div w:id="1239438930">
                                  <w:marLeft w:val="0"/>
                                  <w:marRight w:val="0"/>
                                  <w:marTop w:val="0"/>
                                  <w:marBottom w:val="0"/>
                                  <w:divBdr>
                                    <w:top w:val="none" w:sz="0" w:space="0" w:color="auto"/>
                                    <w:left w:val="none" w:sz="0" w:space="0" w:color="auto"/>
                                    <w:bottom w:val="none" w:sz="0" w:space="0" w:color="auto"/>
                                    <w:right w:val="none" w:sz="0" w:space="0" w:color="auto"/>
                                  </w:divBdr>
                                  <w:divsChild>
                                    <w:div w:id="1616012687">
                                      <w:marLeft w:val="0"/>
                                      <w:marRight w:val="0"/>
                                      <w:marTop w:val="0"/>
                                      <w:marBottom w:val="0"/>
                                      <w:divBdr>
                                        <w:top w:val="none" w:sz="0" w:space="0" w:color="auto"/>
                                        <w:left w:val="none" w:sz="0" w:space="0" w:color="auto"/>
                                        <w:bottom w:val="none" w:sz="0" w:space="0" w:color="auto"/>
                                        <w:right w:val="none" w:sz="0" w:space="0" w:color="auto"/>
                                      </w:divBdr>
                                      <w:divsChild>
                                        <w:div w:id="1723560300">
                                          <w:marLeft w:val="0"/>
                                          <w:marRight w:val="0"/>
                                          <w:marTop w:val="0"/>
                                          <w:marBottom w:val="0"/>
                                          <w:divBdr>
                                            <w:top w:val="none" w:sz="0" w:space="0" w:color="auto"/>
                                            <w:left w:val="none" w:sz="0" w:space="0" w:color="auto"/>
                                            <w:bottom w:val="none" w:sz="0" w:space="0" w:color="auto"/>
                                            <w:right w:val="none" w:sz="0" w:space="0" w:color="auto"/>
                                          </w:divBdr>
                                          <w:divsChild>
                                            <w:div w:id="594216409">
                                              <w:marLeft w:val="0"/>
                                              <w:marRight w:val="0"/>
                                              <w:marTop w:val="0"/>
                                              <w:marBottom w:val="495"/>
                                              <w:divBdr>
                                                <w:top w:val="none" w:sz="0" w:space="0" w:color="auto"/>
                                                <w:left w:val="none" w:sz="0" w:space="0" w:color="auto"/>
                                                <w:bottom w:val="none" w:sz="0" w:space="0" w:color="auto"/>
                                                <w:right w:val="none" w:sz="0" w:space="0" w:color="auto"/>
                                              </w:divBdr>
                                              <w:divsChild>
                                                <w:div w:id="94693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023866">
      <w:bodyDiv w:val="1"/>
      <w:marLeft w:val="0"/>
      <w:marRight w:val="0"/>
      <w:marTop w:val="0"/>
      <w:marBottom w:val="0"/>
      <w:divBdr>
        <w:top w:val="none" w:sz="0" w:space="0" w:color="auto"/>
        <w:left w:val="none" w:sz="0" w:space="0" w:color="auto"/>
        <w:bottom w:val="none" w:sz="0" w:space="0" w:color="auto"/>
        <w:right w:val="none" w:sz="0" w:space="0" w:color="auto"/>
      </w:divBdr>
      <w:divsChild>
        <w:div w:id="1972398304">
          <w:marLeft w:val="0"/>
          <w:marRight w:val="0"/>
          <w:marTop w:val="0"/>
          <w:marBottom w:val="0"/>
          <w:divBdr>
            <w:top w:val="none" w:sz="0" w:space="0" w:color="auto"/>
            <w:left w:val="none" w:sz="0" w:space="0" w:color="auto"/>
            <w:bottom w:val="none" w:sz="0" w:space="0" w:color="auto"/>
            <w:right w:val="none" w:sz="0" w:space="0" w:color="auto"/>
          </w:divBdr>
          <w:divsChild>
            <w:div w:id="534856471">
              <w:marLeft w:val="0"/>
              <w:marRight w:val="0"/>
              <w:marTop w:val="0"/>
              <w:marBottom w:val="0"/>
              <w:divBdr>
                <w:top w:val="none" w:sz="0" w:space="0" w:color="auto"/>
                <w:left w:val="none" w:sz="0" w:space="0" w:color="auto"/>
                <w:bottom w:val="none" w:sz="0" w:space="0" w:color="auto"/>
                <w:right w:val="none" w:sz="0" w:space="0" w:color="auto"/>
              </w:divBdr>
              <w:divsChild>
                <w:div w:id="44447572">
                  <w:marLeft w:val="0"/>
                  <w:marRight w:val="0"/>
                  <w:marTop w:val="0"/>
                  <w:marBottom w:val="0"/>
                  <w:divBdr>
                    <w:top w:val="none" w:sz="0" w:space="0" w:color="auto"/>
                    <w:left w:val="none" w:sz="0" w:space="0" w:color="auto"/>
                    <w:bottom w:val="none" w:sz="0" w:space="0" w:color="auto"/>
                    <w:right w:val="none" w:sz="0" w:space="0" w:color="auto"/>
                  </w:divBdr>
                  <w:divsChild>
                    <w:div w:id="600794833">
                      <w:marLeft w:val="0"/>
                      <w:marRight w:val="0"/>
                      <w:marTop w:val="0"/>
                      <w:marBottom w:val="0"/>
                      <w:divBdr>
                        <w:top w:val="none" w:sz="0" w:space="0" w:color="auto"/>
                        <w:left w:val="none" w:sz="0" w:space="0" w:color="auto"/>
                        <w:bottom w:val="none" w:sz="0" w:space="0" w:color="auto"/>
                        <w:right w:val="none" w:sz="0" w:space="0" w:color="auto"/>
                      </w:divBdr>
                      <w:divsChild>
                        <w:div w:id="1515456230">
                          <w:marLeft w:val="0"/>
                          <w:marRight w:val="0"/>
                          <w:marTop w:val="0"/>
                          <w:marBottom w:val="0"/>
                          <w:divBdr>
                            <w:top w:val="none" w:sz="0" w:space="0" w:color="auto"/>
                            <w:left w:val="none" w:sz="0" w:space="0" w:color="auto"/>
                            <w:bottom w:val="none" w:sz="0" w:space="0" w:color="auto"/>
                            <w:right w:val="none" w:sz="0" w:space="0" w:color="auto"/>
                          </w:divBdr>
                          <w:divsChild>
                            <w:div w:id="2044669127">
                              <w:marLeft w:val="0"/>
                              <w:marRight w:val="0"/>
                              <w:marTop w:val="0"/>
                              <w:marBottom w:val="0"/>
                              <w:divBdr>
                                <w:top w:val="none" w:sz="0" w:space="0" w:color="auto"/>
                                <w:left w:val="none" w:sz="0" w:space="0" w:color="auto"/>
                                <w:bottom w:val="none" w:sz="0" w:space="0" w:color="auto"/>
                                <w:right w:val="none" w:sz="0" w:space="0" w:color="auto"/>
                              </w:divBdr>
                              <w:divsChild>
                                <w:div w:id="44719377">
                                  <w:marLeft w:val="0"/>
                                  <w:marRight w:val="0"/>
                                  <w:marTop w:val="0"/>
                                  <w:marBottom w:val="0"/>
                                  <w:divBdr>
                                    <w:top w:val="none" w:sz="0" w:space="0" w:color="auto"/>
                                    <w:left w:val="none" w:sz="0" w:space="0" w:color="auto"/>
                                    <w:bottom w:val="none" w:sz="0" w:space="0" w:color="auto"/>
                                    <w:right w:val="none" w:sz="0" w:space="0" w:color="auto"/>
                                  </w:divBdr>
                                  <w:divsChild>
                                    <w:div w:id="444734186">
                                      <w:marLeft w:val="0"/>
                                      <w:marRight w:val="0"/>
                                      <w:marTop w:val="0"/>
                                      <w:marBottom w:val="0"/>
                                      <w:divBdr>
                                        <w:top w:val="none" w:sz="0" w:space="0" w:color="auto"/>
                                        <w:left w:val="none" w:sz="0" w:space="0" w:color="auto"/>
                                        <w:bottom w:val="none" w:sz="0" w:space="0" w:color="auto"/>
                                        <w:right w:val="none" w:sz="0" w:space="0" w:color="auto"/>
                                      </w:divBdr>
                                      <w:divsChild>
                                        <w:div w:id="137650814">
                                          <w:marLeft w:val="0"/>
                                          <w:marRight w:val="0"/>
                                          <w:marTop w:val="0"/>
                                          <w:marBottom w:val="0"/>
                                          <w:divBdr>
                                            <w:top w:val="none" w:sz="0" w:space="0" w:color="auto"/>
                                            <w:left w:val="none" w:sz="0" w:space="0" w:color="auto"/>
                                            <w:bottom w:val="none" w:sz="0" w:space="0" w:color="auto"/>
                                            <w:right w:val="none" w:sz="0" w:space="0" w:color="auto"/>
                                          </w:divBdr>
                                          <w:divsChild>
                                            <w:div w:id="1450124561">
                                              <w:marLeft w:val="0"/>
                                              <w:marRight w:val="0"/>
                                              <w:marTop w:val="0"/>
                                              <w:marBottom w:val="495"/>
                                              <w:divBdr>
                                                <w:top w:val="none" w:sz="0" w:space="0" w:color="auto"/>
                                                <w:left w:val="none" w:sz="0" w:space="0" w:color="auto"/>
                                                <w:bottom w:val="none" w:sz="0" w:space="0" w:color="auto"/>
                                                <w:right w:val="none" w:sz="0" w:space="0" w:color="auto"/>
                                              </w:divBdr>
                                              <w:divsChild>
                                                <w:div w:id="147876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r@fagg.b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eenbijwerkingmeld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EC14ED97D9A43B08DDAA405536B26" ma:contentTypeVersion="15" ma:contentTypeDescription="Een nieuw document maken." ma:contentTypeScope="" ma:versionID="1dc2e63fdeba572dcc64cae847bab39e">
  <xsd:schema xmlns:xsd="http://www.w3.org/2001/XMLSchema" xmlns:xs="http://www.w3.org/2001/XMLSchema" xmlns:p="http://schemas.microsoft.com/office/2006/metadata/properties" xmlns:ns2="22eb1db5-e918-47df-8fc8-32a8eb2b2026" xmlns:ns3="96072482-ffa5-4611-a7e5-2ae0d28a9ca7" targetNamespace="http://schemas.microsoft.com/office/2006/metadata/properties" ma:root="true" ma:fieldsID="cfc93f66fdfb76df98330428b44168a0" ns2:_="" ns3:_="">
    <xsd:import namespace="22eb1db5-e918-47df-8fc8-32a8eb2b2026"/>
    <xsd:import namespace="96072482-ffa5-4611-a7e5-2ae0d28a9c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Details" minOccurs="0"/>
                <xsd:element ref="ns3:SharedWithUser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b1db5-e918-47df-8fc8-32a8eb2b2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00d0e4d-6dbe-4744-b9b7-9b3beb0d1f1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72482-ffa5-4611-a7e5-2ae0d28a9ca7" elementFormDefault="qualified">
    <xsd:import namespace="http://schemas.microsoft.com/office/2006/documentManagement/types"/>
    <xsd:import namespace="http://schemas.microsoft.com/office/infopath/2007/PartnerControls"/>
    <xsd:element name="SharedWithDetails" ma:index="14" nillable="true" ma:displayName="Gedeeld met details" ma:internalName="SharedWithDetails" ma:readOnly="true">
      <xsd:simpleType>
        <xsd:restriction base="dms:Note">
          <xsd:maxLength value="255"/>
        </xsd:restrictio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2a2bc704-06bf-4a7d-bde8-d582ca425ac5}" ma:internalName="TaxCatchAll" ma:showField="CatchAllData" ma:web="96072482-ffa5-4611-a7e5-2ae0d28a9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eb1db5-e918-47df-8fc8-32a8eb2b2026">
      <Terms xmlns="http://schemas.microsoft.com/office/infopath/2007/PartnerControls"/>
    </lcf76f155ced4ddcb4097134ff3c332f>
    <TaxCatchAll xmlns="96072482-ffa5-4611-a7e5-2ae0d28a9ca7" xsi:nil="true"/>
  </documentManagement>
</p:properties>
</file>

<file path=customXml/itemProps1.xml><?xml version="1.0" encoding="utf-8"?>
<ds:datastoreItem xmlns:ds="http://schemas.openxmlformats.org/officeDocument/2006/customXml" ds:itemID="{78BAC62C-E924-4E72-B323-E6E2CAA8373B}"/>
</file>

<file path=customXml/itemProps2.xml><?xml version="1.0" encoding="utf-8"?>
<ds:datastoreItem xmlns:ds="http://schemas.openxmlformats.org/officeDocument/2006/customXml" ds:itemID="{E3408BB7-0773-4012-A7DC-17C6533F22AB}"/>
</file>

<file path=customXml/itemProps3.xml><?xml version="1.0" encoding="utf-8"?>
<ds:datastoreItem xmlns:ds="http://schemas.openxmlformats.org/officeDocument/2006/customXml" ds:itemID="{2176EE35-A602-428D-8191-FD9EF94772F2}"/>
</file>

<file path=docProps/app.xml><?xml version="1.0" encoding="utf-8"?>
<Properties xmlns="http://schemas.openxmlformats.org/officeDocument/2006/extended-properties" xmlns:vt="http://schemas.openxmlformats.org/officeDocument/2006/docPropsVTypes">
  <Template>Normal</Template>
  <TotalTime>6</TotalTime>
  <Pages>16</Pages>
  <Words>4667</Words>
  <Characters>31610</Characters>
  <Application>Microsoft Office Word</Application>
  <DocSecurity>0</DocSecurity>
  <Lines>263</Lines>
  <Paragraphs>72</Paragraphs>
  <ScaleCrop>false</ScaleCrop>
  <HeadingPairs>
    <vt:vector size="2" baseType="variant">
      <vt:variant>
        <vt:lpstr>Title</vt:lpstr>
      </vt:variant>
      <vt:variant>
        <vt:i4>1</vt:i4>
      </vt:variant>
    </vt:vector>
  </HeadingPairs>
  <TitlesOfParts>
    <vt:vector size="1" baseType="lpstr">
      <vt:lpstr>ANNEXE I</vt:lpstr>
    </vt:vector>
  </TitlesOfParts>
  <Company>GROUPE UPSA</Company>
  <LinksUpToDate>false</LinksUpToDate>
  <CharactersWithSpaces>36205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I</dc:title>
  <dc:creator>Laboratoires UPSA</dc:creator>
  <cp:lastModifiedBy>Paree, Dimitri</cp:lastModifiedBy>
  <cp:revision>4</cp:revision>
  <cp:lastPrinted>2018-04-06T11:38:00Z</cp:lastPrinted>
  <dcterms:created xsi:type="dcterms:W3CDTF">2021-08-12T10:30:00Z</dcterms:created>
  <dcterms:modified xsi:type="dcterms:W3CDTF">2021-10-13T05:21:00Z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0x0101001C8EC14ED97D9A43B08DDAA405536B26</vt:lpwstr>
  </property>
</Properties>
</file>